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1E195ACA" w14:textId="77777777" w:rsidTr="00DE264A">
        <w:trPr>
          <w:trHeight w:val="852"/>
          <w:jc w:val="center"/>
        </w:trPr>
        <w:tc>
          <w:tcPr>
            <w:tcW w:w="6946" w:type="dxa"/>
            <w:vMerge w:val="restart"/>
            <w:tcBorders>
              <w:right w:val="single" w:sz="4" w:space="0" w:color="auto"/>
            </w:tcBorders>
          </w:tcPr>
          <w:p w14:paraId="17266D71"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664642B7" wp14:editId="307A603D">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14:paraId="384134B5" w14:textId="77777777"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B48F9">
              <w:rPr>
                <w:rFonts w:cs="Arial"/>
                <w:b/>
                <w:bCs/>
                <w:i/>
                <w:iCs/>
                <w:color w:val="000066"/>
                <w:sz w:val="22"/>
                <w:szCs w:val="22"/>
                <w:lang w:eastAsia="it-IT"/>
              </w:rPr>
              <w:t>,</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388FE77C"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3B050D3" w14:textId="77777777" w:rsidR="000A03B2" w:rsidRPr="00B57B36" w:rsidRDefault="000A03B2" w:rsidP="00CD5FE2">
            <w:pPr>
              <w:jc w:val="right"/>
            </w:pPr>
            <w:r w:rsidRPr="00B57B36">
              <w:rPr>
                <w:noProof/>
                <w:lang w:val="pt-BR" w:eastAsia="pt-BR"/>
              </w:rPr>
              <w:drawing>
                <wp:inline distT="0" distB="0" distL="0" distR="0" wp14:anchorId="61CAE45E" wp14:editId="3FA7CCAE">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B346CCD" w14:textId="77777777" w:rsidTr="00DE264A">
        <w:trPr>
          <w:trHeight w:val="567"/>
          <w:jc w:val="center"/>
        </w:trPr>
        <w:tc>
          <w:tcPr>
            <w:tcW w:w="6946" w:type="dxa"/>
            <w:vMerge/>
            <w:tcBorders>
              <w:right w:val="single" w:sz="4" w:space="0" w:color="auto"/>
            </w:tcBorders>
          </w:tcPr>
          <w:p w14:paraId="4DBCAA55"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59DF6C7F"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6B523A5F"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C96407A" w14:textId="77777777"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1302AB32" w14:textId="77777777" w:rsidTr="00DE264A">
        <w:trPr>
          <w:trHeight w:val="68"/>
          <w:jc w:val="center"/>
        </w:trPr>
        <w:tc>
          <w:tcPr>
            <w:tcW w:w="8789" w:type="dxa"/>
            <w:gridSpan w:val="2"/>
          </w:tcPr>
          <w:p w14:paraId="653EBE33"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 xml:space="preserve">Guest </w:t>
            </w:r>
            <w:proofErr w:type="gramStart"/>
            <w:r w:rsidRPr="00F93EDF">
              <w:rPr>
                <w:rFonts w:ascii="Tahoma" w:hAnsi="Tahoma" w:cs="Tahoma"/>
                <w:iCs/>
                <w:color w:val="333333"/>
                <w:sz w:val="14"/>
                <w:szCs w:val="14"/>
                <w:lang w:eastAsia="it-IT"/>
              </w:rPr>
              <w:t>Editor:</w:t>
            </w:r>
            <w:r w:rsidRPr="00293D18">
              <w:rPr>
                <w:rFonts w:ascii="Tahoma" w:hAnsi="Tahoma" w:cs="Tahoma"/>
                <w:sz w:val="14"/>
                <w:szCs w:val="14"/>
              </w:rPr>
              <w:t>SauroPierucci</w:t>
            </w:r>
            <w:proofErr w:type="gramEnd"/>
          </w:p>
          <w:p w14:paraId="3313A08A" w14:textId="77777777"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w:t>
            </w:r>
            <w:proofErr w:type="gramStart"/>
            <w:r>
              <w:rPr>
                <w:rFonts w:ascii="Tahoma" w:hAnsi="Tahoma" w:cs="Tahoma"/>
                <w:sz w:val="14"/>
                <w:szCs w:val="14"/>
              </w:rPr>
              <w:t>3</w:t>
            </w:r>
            <w:r w:rsidRPr="00EF06D9">
              <w:rPr>
                <w:rFonts w:ascii="Tahoma" w:hAnsi="Tahoma" w:cs="Tahoma"/>
                <w:iCs/>
                <w:color w:val="333333"/>
                <w:sz w:val="14"/>
                <w:szCs w:val="14"/>
                <w:lang w:eastAsia="it-IT"/>
              </w:rPr>
              <w:t>;</w:t>
            </w:r>
            <w:r w:rsidRPr="00B57B36">
              <w:rPr>
                <w:rFonts w:ascii="Tahoma" w:hAnsi="Tahoma" w:cs="Tahoma"/>
                <w:b/>
                <w:iCs/>
                <w:color w:val="333333"/>
                <w:sz w:val="14"/>
                <w:szCs w:val="14"/>
                <w:lang w:eastAsia="it-IT"/>
              </w:rPr>
              <w:t>ISSN</w:t>
            </w:r>
            <w:proofErr w:type="gramEnd"/>
            <w:r w:rsidRPr="00B57B36">
              <w:rPr>
                <w:rFonts w:ascii="Tahoma" w:hAnsi="Tahoma" w:cs="Tahoma"/>
                <w:iCs/>
                <w:color w:val="333333"/>
                <w:sz w:val="14"/>
                <w:szCs w:val="14"/>
                <w:lang w:eastAsia="it-IT"/>
              </w:rPr>
              <w:t xml:space="preserve"> 2283-9216</w:t>
            </w:r>
          </w:p>
        </w:tc>
      </w:tr>
    </w:tbl>
    <w:p w14:paraId="686E6791" w14:textId="77777777" w:rsidR="00E978D0" w:rsidRPr="00B57B36" w:rsidRDefault="00FC0B75" w:rsidP="00E978D0">
      <w:pPr>
        <w:pStyle w:val="CETTitle"/>
      </w:pPr>
      <w:r>
        <w:t xml:space="preserve">Waste-To-Power: Assessment of Refuse-Derived Fuel use in </w:t>
      </w:r>
      <w:r w:rsidR="00D57050">
        <w:t xml:space="preserve">a </w:t>
      </w:r>
      <w:r>
        <w:t xml:space="preserve">Gasification </w:t>
      </w:r>
      <w:r w:rsidR="00D57050">
        <w:t xml:space="preserve">Plant </w:t>
      </w:r>
      <w:r>
        <w:t>in the Brazilian context</w:t>
      </w:r>
    </w:p>
    <w:p w14:paraId="6E880DAC" w14:textId="6EDD41FF" w:rsidR="00B57E6F" w:rsidRPr="0099307B" w:rsidRDefault="00FC0B75" w:rsidP="00FC0B75">
      <w:pPr>
        <w:pStyle w:val="CETAuthors"/>
        <w:jc w:val="center"/>
        <w:rPr>
          <w:lang w:val="pt-BR"/>
        </w:rPr>
      </w:pPr>
      <w:r w:rsidRPr="00FC0B75">
        <w:rPr>
          <w:lang w:val="pt-BR"/>
        </w:rPr>
        <w:t>Emilio E.X. Guimarãe</w:t>
      </w:r>
      <w:r w:rsidR="00AD4EE6">
        <w:rPr>
          <w:lang w:val="pt-BR"/>
        </w:rPr>
        <w:t>s</w:t>
      </w:r>
      <w:r w:rsidR="00137DF7">
        <w:rPr>
          <w:lang w:val="pt-BR"/>
        </w:rPr>
        <w:t xml:space="preserve"> Filho</w:t>
      </w:r>
      <w:r w:rsidR="00B57E6F" w:rsidRPr="00FC0B75">
        <w:rPr>
          <w:lang w:val="pt-BR"/>
        </w:rPr>
        <w:t>,</w:t>
      </w:r>
      <w:r w:rsidRPr="00FC0B75">
        <w:rPr>
          <w:lang w:val="pt-BR"/>
        </w:rPr>
        <w:t xml:space="preserve"> Adriano P</w:t>
      </w:r>
      <w:r w:rsidR="001B0BDA">
        <w:rPr>
          <w:lang w:val="pt-BR"/>
        </w:rPr>
        <w:t>into</w:t>
      </w:r>
      <w:r w:rsidRPr="00FC0B75">
        <w:rPr>
          <w:lang w:val="pt-BR"/>
        </w:rPr>
        <w:t xml:space="preserve"> </w:t>
      </w:r>
      <w:r w:rsidRPr="0099307B">
        <w:rPr>
          <w:lang w:val="pt-BR"/>
        </w:rPr>
        <w:t>Mariano,</w:t>
      </w:r>
      <w:r w:rsidR="0099307B" w:rsidRPr="0099307B">
        <w:rPr>
          <w:lang w:val="pt-BR"/>
        </w:rPr>
        <w:t xml:space="preserve"> </w:t>
      </w:r>
      <w:r w:rsidRPr="0099307B">
        <w:rPr>
          <w:lang w:val="pt-BR"/>
        </w:rPr>
        <w:t>Rubens M</w:t>
      </w:r>
      <w:r w:rsidR="001B0BDA" w:rsidRPr="0099307B">
        <w:rPr>
          <w:lang w:val="pt-BR"/>
        </w:rPr>
        <w:t>aciel</w:t>
      </w:r>
      <w:r w:rsidRPr="0099307B">
        <w:rPr>
          <w:lang w:val="pt-BR"/>
        </w:rPr>
        <w:t xml:space="preserve"> Filho</w:t>
      </w:r>
    </w:p>
    <w:p w14:paraId="7481842E" w14:textId="77777777" w:rsidR="00B57E6F" w:rsidRPr="00B57B36" w:rsidRDefault="00FC0B75" w:rsidP="00B57E6F">
      <w:pPr>
        <w:pStyle w:val="CETAddress"/>
      </w:pPr>
      <w:r>
        <w:t>School of Chemical Engineering, University of Campinas (UNICAMP). Av. Albert Einstein 500, 13083-852, Campinas-SP, Brazil.</w:t>
      </w:r>
    </w:p>
    <w:p w14:paraId="27B8CCED" w14:textId="77777777" w:rsidR="00991F0C" w:rsidRPr="00991F0C" w:rsidRDefault="00000000" w:rsidP="00991F0C">
      <w:pPr>
        <w:pStyle w:val="CETemail"/>
      </w:pPr>
      <w:hyperlink r:id="rId10" w:history="1">
        <w:r w:rsidR="00991F0C" w:rsidRPr="00991F0C">
          <w:rPr>
            <w:rStyle w:val="Hyperlink"/>
            <w:color w:val="auto"/>
            <w:u w:val="none"/>
          </w:rPr>
          <w:t>emilioguimaraesf@gmail.com</w:t>
        </w:r>
      </w:hyperlink>
    </w:p>
    <w:p w14:paraId="779A6F72" w14:textId="12EBF5C7" w:rsidR="00991F0C" w:rsidRPr="006A72AA" w:rsidRDefault="00991F0C" w:rsidP="00991F0C">
      <w:pPr>
        <w:pStyle w:val="CETBodytext"/>
        <w:rPr>
          <w:lang w:val="en-GB"/>
        </w:rPr>
      </w:pPr>
      <w:r w:rsidRPr="006A72AA">
        <w:rPr>
          <w:lang w:val="en-GB"/>
        </w:rPr>
        <w:t>In the past 10 years, Brazil’s government has been investing in alternative sources to decrease the high dependence of the</w:t>
      </w:r>
      <w:r w:rsidR="00924673" w:rsidRPr="006A72AA">
        <w:rPr>
          <w:lang w:val="en-GB"/>
        </w:rPr>
        <w:t xml:space="preserve"> </w:t>
      </w:r>
      <w:r w:rsidRPr="006A72AA">
        <w:rPr>
          <w:lang w:val="en-GB"/>
        </w:rPr>
        <w:t>electricity grid on hydropower plants, mainly due to a constant decrease in pluviometry levels. A promising fuel in the</w:t>
      </w:r>
      <w:r w:rsidR="00E44CDC" w:rsidRPr="006A72AA">
        <w:rPr>
          <w:lang w:val="en-GB"/>
        </w:rPr>
        <w:t xml:space="preserve"> </w:t>
      </w:r>
      <w:r w:rsidRPr="006A72AA">
        <w:rPr>
          <w:lang w:val="en-GB"/>
        </w:rPr>
        <w:t xml:space="preserve">context of the circular economy is </w:t>
      </w:r>
      <w:r w:rsidR="00924673" w:rsidRPr="006A72AA">
        <w:rPr>
          <w:lang w:val="en-GB"/>
        </w:rPr>
        <w:t>r</w:t>
      </w:r>
      <w:r w:rsidRPr="006A72AA">
        <w:rPr>
          <w:lang w:val="en-GB"/>
        </w:rPr>
        <w:t>efuse-derived fuel (RDF), which is the combustible fraction of Municipal Solid</w:t>
      </w:r>
      <w:r w:rsidR="00E44CDC" w:rsidRPr="006A72AA">
        <w:rPr>
          <w:lang w:val="en-GB"/>
        </w:rPr>
        <w:t xml:space="preserve"> </w:t>
      </w:r>
      <w:r w:rsidRPr="006A72AA">
        <w:rPr>
          <w:lang w:val="en-GB"/>
        </w:rPr>
        <w:t xml:space="preserve">Wastes. It has high calorific power, low levels of hazardous components, and is a more homogeneous material. Moreover, RDF is an abundant, secure source of fuel with a market price nearly independent of external currencies. As gasification </w:t>
      </w:r>
      <w:r w:rsidR="00220F1D" w:rsidRPr="006A72AA">
        <w:rPr>
          <w:lang w:val="en-GB"/>
        </w:rPr>
        <w:t xml:space="preserve">is a </w:t>
      </w:r>
      <w:r w:rsidRPr="006A72AA">
        <w:rPr>
          <w:lang w:val="en-GB"/>
        </w:rPr>
        <w:t>common Waste-To-Power (WTP) technolog</w:t>
      </w:r>
      <w:r w:rsidR="00220F1D" w:rsidRPr="006A72AA">
        <w:rPr>
          <w:lang w:val="en-GB"/>
        </w:rPr>
        <w:t>y</w:t>
      </w:r>
      <w:r w:rsidRPr="006A72AA">
        <w:rPr>
          <w:lang w:val="en-GB"/>
        </w:rPr>
        <w:t xml:space="preserve"> used worldwide, this work evaluated the electricity generation by </w:t>
      </w:r>
      <w:r w:rsidR="00220F1D" w:rsidRPr="006A72AA">
        <w:rPr>
          <w:lang w:val="en-GB"/>
        </w:rPr>
        <w:t>this</w:t>
      </w:r>
      <w:r w:rsidRPr="006A72AA">
        <w:rPr>
          <w:lang w:val="en-GB"/>
        </w:rPr>
        <w:t xml:space="preserve"> technolog</w:t>
      </w:r>
      <w:r w:rsidR="00220F1D" w:rsidRPr="006A72AA">
        <w:rPr>
          <w:lang w:val="en-GB"/>
        </w:rPr>
        <w:t>y</w:t>
      </w:r>
      <w:r w:rsidRPr="006A72AA">
        <w:rPr>
          <w:lang w:val="en-GB"/>
        </w:rPr>
        <w:t xml:space="preserve"> on a small scale (</w:t>
      </w:r>
      <w:r w:rsidR="00990F27" w:rsidRPr="006A72AA">
        <w:rPr>
          <w:lang w:val="en-GB"/>
        </w:rPr>
        <w:t>2</w:t>
      </w:r>
      <w:r w:rsidR="00245F91" w:rsidRPr="006A72AA">
        <w:rPr>
          <w:lang w:val="en-GB"/>
        </w:rPr>
        <w:t>00</w:t>
      </w:r>
      <w:r w:rsidR="00924673" w:rsidRPr="006A72AA">
        <w:rPr>
          <w:lang w:val="en-GB"/>
        </w:rPr>
        <w:t xml:space="preserve"> </w:t>
      </w:r>
      <w:r w:rsidR="00245F91" w:rsidRPr="006A72AA">
        <w:rPr>
          <w:lang w:val="en-GB"/>
        </w:rPr>
        <w:t>k</w:t>
      </w:r>
      <w:r w:rsidRPr="006A72AA">
        <w:rPr>
          <w:lang w:val="en-GB"/>
        </w:rPr>
        <w:t xml:space="preserve">W), </w:t>
      </w:r>
      <w:r w:rsidR="00220F1D" w:rsidRPr="006A72AA">
        <w:rPr>
          <w:lang w:val="en-GB"/>
        </w:rPr>
        <w:t xml:space="preserve">using </w:t>
      </w:r>
      <w:r w:rsidRPr="006A72AA">
        <w:rPr>
          <w:lang w:val="en-GB"/>
        </w:rPr>
        <w:t>air as a gasifying agent</w:t>
      </w:r>
      <w:r w:rsidR="00220F1D" w:rsidRPr="006A72AA">
        <w:rPr>
          <w:lang w:val="en-GB"/>
        </w:rPr>
        <w:t xml:space="preserve"> and</w:t>
      </w:r>
      <w:r w:rsidRPr="006A72AA">
        <w:rPr>
          <w:lang w:val="en-GB"/>
        </w:rPr>
        <w:t xml:space="preserve"> gas turbines, and </w:t>
      </w:r>
      <w:r w:rsidR="00220F1D" w:rsidRPr="006A72AA">
        <w:rPr>
          <w:lang w:val="en-GB"/>
        </w:rPr>
        <w:t xml:space="preserve">according to </w:t>
      </w:r>
      <w:r w:rsidRPr="006A72AA">
        <w:rPr>
          <w:lang w:val="en-GB"/>
        </w:rPr>
        <w:t xml:space="preserve">Brazilian legal requirements regarding the composition of RDF. The process </w:t>
      </w:r>
      <w:r w:rsidR="00220F1D" w:rsidRPr="006A72AA">
        <w:rPr>
          <w:lang w:val="en-GB"/>
        </w:rPr>
        <w:t>was</w:t>
      </w:r>
      <w:r w:rsidRPr="006A72AA">
        <w:rPr>
          <w:lang w:val="en-GB"/>
        </w:rPr>
        <w:t xml:space="preserve"> simulated in Aspen</w:t>
      </w:r>
      <w:r w:rsidR="00924673" w:rsidRPr="006A72AA">
        <w:rPr>
          <w:lang w:val="en-GB"/>
        </w:rPr>
        <w:t xml:space="preserve"> </w:t>
      </w:r>
      <w:r w:rsidRPr="006A72AA">
        <w:rPr>
          <w:lang w:val="en-GB"/>
        </w:rPr>
        <w:t xml:space="preserve">Plus v8.6 for an RDF with an LHV of 15.9 MJ/kg. Sensitivity analysis on key operational parameters showed that for the representative composition of RDF in Brazil, </w:t>
      </w:r>
      <w:r w:rsidR="00900E80" w:rsidRPr="006A72AA">
        <w:rPr>
          <w:lang w:val="en-GB"/>
        </w:rPr>
        <w:t xml:space="preserve">an ER </w:t>
      </w:r>
      <w:r w:rsidR="00990F27" w:rsidRPr="006A72AA">
        <w:rPr>
          <w:lang w:val="en-GB"/>
        </w:rPr>
        <w:t>between 0.1-</w:t>
      </w:r>
      <w:r w:rsidR="00900E80" w:rsidRPr="006A72AA">
        <w:rPr>
          <w:lang w:val="en-GB"/>
        </w:rPr>
        <w:t xml:space="preserve">0.3 would be suitable for a gasification process, resulting in a net electrical efficiency of </w:t>
      </w:r>
      <w:r w:rsidR="000B1487" w:rsidRPr="006A72AA">
        <w:rPr>
          <w:lang w:val="en-GB"/>
        </w:rPr>
        <w:t>2</w:t>
      </w:r>
      <w:r w:rsidR="00990F27" w:rsidRPr="006A72AA">
        <w:rPr>
          <w:lang w:val="en-GB"/>
        </w:rPr>
        <w:t>2</w:t>
      </w:r>
      <w:r w:rsidR="000B1487" w:rsidRPr="006A72AA">
        <w:rPr>
          <w:lang w:val="en-GB"/>
        </w:rPr>
        <w:t>-2</w:t>
      </w:r>
      <w:r w:rsidR="00990F27" w:rsidRPr="006A72AA">
        <w:rPr>
          <w:lang w:val="en-GB"/>
        </w:rPr>
        <w:t>7</w:t>
      </w:r>
      <w:r w:rsidR="000B1487" w:rsidRPr="006A72AA">
        <w:rPr>
          <w:lang w:val="en-GB"/>
        </w:rPr>
        <w:t>%</w:t>
      </w:r>
      <w:r w:rsidR="00900E80" w:rsidRPr="006A72AA">
        <w:rPr>
          <w:lang w:val="en-GB"/>
        </w:rPr>
        <w:t>.</w:t>
      </w:r>
    </w:p>
    <w:p w14:paraId="7AB24FF6" w14:textId="77777777" w:rsidR="00991F0C" w:rsidRPr="006A72AA" w:rsidRDefault="00991F0C" w:rsidP="00991F0C">
      <w:pPr>
        <w:pStyle w:val="CETBodytext"/>
        <w:rPr>
          <w:lang w:val="en-GB"/>
        </w:rPr>
      </w:pPr>
    </w:p>
    <w:p w14:paraId="25B291C5" w14:textId="77777777" w:rsidR="0058089D" w:rsidRPr="006A72AA" w:rsidRDefault="00600535" w:rsidP="0058089D">
      <w:pPr>
        <w:pStyle w:val="CETHeading1"/>
        <w:rPr>
          <w:lang w:val="en-GB"/>
        </w:rPr>
      </w:pPr>
      <w:r w:rsidRPr="006A72AA">
        <w:rPr>
          <w:lang w:val="en-GB"/>
        </w:rPr>
        <w:t>Introduction</w:t>
      </w:r>
    </w:p>
    <w:p w14:paraId="4E8F00B7" w14:textId="0F90AEEE" w:rsidR="0058089D" w:rsidRPr="006A72AA" w:rsidRDefault="0058089D" w:rsidP="00EE5823">
      <w:pPr>
        <w:pStyle w:val="CETBodytext"/>
        <w:rPr>
          <w:lang w:val="en-GB"/>
        </w:rPr>
      </w:pPr>
      <w:r w:rsidRPr="006A72AA">
        <w:rPr>
          <w:lang w:val="en-GB"/>
        </w:rPr>
        <w:t xml:space="preserve">In 2019, about 80% of the Brazilian grid was composed of renewable sources, having hydropower plants supplying over 65% of the internal demand. The high dependency on this source altogether with seasonality and the linear decrease in precipitation levels in the past 10 years led the country to increase generation by thermopower plants (ONS, 2021). In these cases, the associated costs are also increased due to costs </w:t>
      </w:r>
      <w:r w:rsidR="00E44CDC" w:rsidRPr="006A72AA">
        <w:rPr>
          <w:lang w:val="en-GB"/>
        </w:rPr>
        <w:t xml:space="preserve">related to </w:t>
      </w:r>
      <w:r w:rsidRPr="006A72AA">
        <w:rPr>
          <w:lang w:val="en-GB"/>
        </w:rPr>
        <w:t>the raw material (mainly fossil fuels) as well as the low energy efficiency from generation to transmission (Filippo Filho, 2018).</w:t>
      </w:r>
    </w:p>
    <w:p w14:paraId="5F1B57A0" w14:textId="77777777" w:rsidR="00EE5823" w:rsidRPr="006A72AA" w:rsidRDefault="00EE5823" w:rsidP="00EE5823">
      <w:pPr>
        <w:pStyle w:val="CETBodytext"/>
        <w:rPr>
          <w:lang w:val="en-GB"/>
        </w:rPr>
      </w:pPr>
    </w:p>
    <w:p w14:paraId="274C4DE8" w14:textId="77777777" w:rsidR="00AC1B91" w:rsidRPr="006A72AA" w:rsidRDefault="00924673" w:rsidP="00EE5823">
      <w:pPr>
        <w:pStyle w:val="CETBodytext"/>
        <w:rPr>
          <w:lang w:val="en-GB"/>
        </w:rPr>
      </w:pPr>
      <w:r w:rsidRPr="006A72AA">
        <w:rPr>
          <w:lang w:val="en-GB"/>
        </w:rPr>
        <w:t>A promising feedstock that may</w:t>
      </w:r>
      <w:r w:rsidR="0058089D" w:rsidRPr="006A72AA">
        <w:rPr>
          <w:lang w:val="en-GB"/>
        </w:rPr>
        <w:t xml:space="preserve"> </w:t>
      </w:r>
      <w:r w:rsidRPr="006A72AA">
        <w:rPr>
          <w:lang w:val="en-GB"/>
        </w:rPr>
        <w:t xml:space="preserve">help </w:t>
      </w:r>
      <w:r w:rsidR="0058089D" w:rsidRPr="006A72AA">
        <w:rPr>
          <w:lang w:val="en-GB"/>
        </w:rPr>
        <w:t>overcom</w:t>
      </w:r>
      <w:r w:rsidRPr="006A72AA">
        <w:rPr>
          <w:lang w:val="en-GB"/>
        </w:rPr>
        <w:t>e</w:t>
      </w:r>
      <w:r w:rsidR="0058089D" w:rsidRPr="006A72AA">
        <w:rPr>
          <w:lang w:val="en-GB"/>
        </w:rPr>
        <w:t xml:space="preserve"> the use of fossil fuels</w:t>
      </w:r>
      <w:r w:rsidRPr="006A72AA">
        <w:rPr>
          <w:lang w:val="en-GB"/>
        </w:rPr>
        <w:t xml:space="preserve"> is</w:t>
      </w:r>
      <w:r w:rsidR="0058089D" w:rsidRPr="006A72AA">
        <w:rPr>
          <w:lang w:val="en-GB"/>
        </w:rPr>
        <w:t xml:space="preserve"> refuse-derived </w:t>
      </w:r>
      <w:r w:rsidRPr="006A72AA">
        <w:rPr>
          <w:lang w:val="en-GB"/>
        </w:rPr>
        <w:t>f</w:t>
      </w:r>
      <w:r w:rsidR="0058089D" w:rsidRPr="006A72AA">
        <w:rPr>
          <w:lang w:val="en-GB"/>
        </w:rPr>
        <w:t>uel (RDF)</w:t>
      </w:r>
      <w:r w:rsidRPr="006A72AA">
        <w:rPr>
          <w:lang w:val="en-GB"/>
        </w:rPr>
        <w:t>. It consists of</w:t>
      </w:r>
      <w:r w:rsidR="0058089D" w:rsidRPr="006A72AA">
        <w:rPr>
          <w:lang w:val="en-GB"/>
        </w:rPr>
        <w:t xml:space="preserve"> a high-value combustible </w:t>
      </w:r>
      <w:r w:rsidR="00EC489B" w:rsidRPr="006A72AA">
        <w:rPr>
          <w:lang w:val="en-GB"/>
        </w:rPr>
        <w:t xml:space="preserve">solid </w:t>
      </w:r>
      <w:r w:rsidR="0058089D" w:rsidRPr="006A72AA">
        <w:rPr>
          <w:lang w:val="en-GB"/>
        </w:rPr>
        <w:t xml:space="preserve">fraction of </w:t>
      </w:r>
      <w:r w:rsidRPr="006A72AA">
        <w:rPr>
          <w:lang w:val="en-GB"/>
        </w:rPr>
        <w:t>M</w:t>
      </w:r>
      <w:r w:rsidR="0058089D" w:rsidRPr="006A72AA">
        <w:rPr>
          <w:lang w:val="en-GB"/>
        </w:rPr>
        <w:t>unicipal Solid Wastes (MSW)</w:t>
      </w:r>
      <w:r w:rsidR="00EC489B" w:rsidRPr="006A72AA">
        <w:rPr>
          <w:lang w:val="en-GB"/>
        </w:rPr>
        <w:t xml:space="preserve"> without inert and recyclable materials (Mehdi et al., 2020) and is suitable for gasification to produce gas fuels for power generation.</w:t>
      </w:r>
    </w:p>
    <w:p w14:paraId="2CA513B0" w14:textId="77777777" w:rsidR="00AC1B91" w:rsidRPr="006A72AA" w:rsidRDefault="00AC1B91" w:rsidP="00EE5823">
      <w:pPr>
        <w:pStyle w:val="CETBodytext"/>
        <w:rPr>
          <w:lang w:val="en-GB"/>
        </w:rPr>
      </w:pPr>
    </w:p>
    <w:p w14:paraId="45CC4592" w14:textId="53F121C0" w:rsidR="00AC1B91" w:rsidRPr="006A72AA" w:rsidRDefault="00AC1B91" w:rsidP="00EE5823">
      <w:pPr>
        <w:pStyle w:val="CETBodytext"/>
        <w:rPr>
          <w:lang w:val="en-GB"/>
        </w:rPr>
      </w:pPr>
      <w:r w:rsidRPr="006A72AA">
        <w:rPr>
          <w:lang w:val="en-GB"/>
        </w:rPr>
        <w:t>However, f</w:t>
      </w:r>
      <w:r w:rsidR="00EC489B" w:rsidRPr="006A72AA">
        <w:rPr>
          <w:lang w:val="en-GB"/>
        </w:rPr>
        <w:t xml:space="preserve">or </w:t>
      </w:r>
      <w:r w:rsidRPr="006A72AA">
        <w:rPr>
          <w:lang w:val="en-GB"/>
        </w:rPr>
        <w:t>RDF to be</w:t>
      </w:r>
      <w:r w:rsidR="00EC489B" w:rsidRPr="006A72AA">
        <w:rPr>
          <w:lang w:val="en-GB"/>
        </w:rPr>
        <w:t xml:space="preserve"> use</w:t>
      </w:r>
      <w:r w:rsidRPr="006A72AA">
        <w:rPr>
          <w:lang w:val="en-GB"/>
        </w:rPr>
        <w:t>d as gasification fuel in</w:t>
      </w:r>
      <w:r w:rsidR="00EC489B" w:rsidRPr="006A72AA">
        <w:rPr>
          <w:lang w:val="en-GB"/>
        </w:rPr>
        <w:t xml:space="preserve"> the State of São Paulo</w:t>
      </w:r>
      <w:r w:rsidRPr="006A72AA">
        <w:rPr>
          <w:lang w:val="en-GB"/>
        </w:rPr>
        <w:t xml:space="preserve"> in Brazil,</w:t>
      </w:r>
      <w:r w:rsidR="00EC489B" w:rsidRPr="006A72AA">
        <w:rPr>
          <w:lang w:val="en-GB"/>
        </w:rPr>
        <w:t xml:space="preserve"> legislation (legal resolution n.047, SIMA, enacted in 2020) </w:t>
      </w:r>
      <w:r w:rsidRPr="006A72AA">
        <w:rPr>
          <w:lang w:val="en-GB"/>
        </w:rPr>
        <w:t xml:space="preserve">determines </w:t>
      </w:r>
      <w:r w:rsidR="00EC489B" w:rsidRPr="006A72AA">
        <w:rPr>
          <w:lang w:val="en-GB"/>
        </w:rPr>
        <w:t>that the lower heating value (LHV) of RDF has to exceed 9.6 MJ/kg and the gasifier has to operate at temperatures equal or higher than 750 °C.</w:t>
      </w:r>
      <w:r w:rsidRPr="006A72AA">
        <w:rPr>
          <w:lang w:val="en-GB"/>
        </w:rPr>
        <w:t xml:space="preserve"> As such, the legal</w:t>
      </w:r>
      <w:r w:rsidR="0058089D" w:rsidRPr="006A72AA">
        <w:rPr>
          <w:lang w:val="en-GB"/>
        </w:rPr>
        <w:t xml:space="preserve"> requirements</w:t>
      </w:r>
      <w:r w:rsidRPr="006A72AA">
        <w:rPr>
          <w:lang w:val="en-GB"/>
        </w:rPr>
        <w:t xml:space="preserve"> prompted us to investigate, via Aspen Plus simulation, the net electrical efficiency of a waste-to-power plant considering the air gasification of an average composition of RDF in Brazil.</w:t>
      </w:r>
    </w:p>
    <w:p w14:paraId="03FDC9C9" w14:textId="77777777" w:rsidR="00AC1B91" w:rsidRPr="006A72AA" w:rsidRDefault="00AC1B91" w:rsidP="00EE5823">
      <w:pPr>
        <w:pStyle w:val="CETBodytext"/>
        <w:rPr>
          <w:lang w:val="en-GB"/>
        </w:rPr>
      </w:pPr>
    </w:p>
    <w:p w14:paraId="1DDC894C" w14:textId="77777777" w:rsidR="0058089D" w:rsidRPr="006A72AA" w:rsidRDefault="0058089D" w:rsidP="0058089D">
      <w:pPr>
        <w:pStyle w:val="CETHeading1"/>
        <w:rPr>
          <w:lang w:val="en-GB"/>
        </w:rPr>
      </w:pPr>
      <w:r w:rsidRPr="006A72AA">
        <w:rPr>
          <w:lang w:val="en-GB"/>
        </w:rPr>
        <w:t>Refuse-Derived Fuel Composition and Simulation</w:t>
      </w:r>
    </w:p>
    <w:p w14:paraId="308BDC89" w14:textId="77777777" w:rsidR="0058089D" w:rsidRPr="006A72AA" w:rsidRDefault="0058089D" w:rsidP="0058089D">
      <w:pPr>
        <w:pStyle w:val="CETBodytext"/>
        <w:rPr>
          <w:lang w:val="en-GB"/>
        </w:rPr>
      </w:pPr>
    </w:p>
    <w:p w14:paraId="009848E4" w14:textId="7EF03CF6" w:rsidR="00827A8B" w:rsidRPr="006A72AA" w:rsidRDefault="00970425" w:rsidP="00EE5823">
      <w:pPr>
        <w:pStyle w:val="CETBodytext"/>
        <w:rPr>
          <w:lang w:val="en-GB"/>
        </w:rPr>
      </w:pPr>
      <w:r w:rsidRPr="006A72AA">
        <w:rPr>
          <w:lang w:val="en-GB"/>
        </w:rPr>
        <w:t>Since the</w:t>
      </w:r>
      <w:r w:rsidR="00746F48" w:rsidRPr="006A72AA">
        <w:rPr>
          <w:lang w:val="en-GB"/>
        </w:rPr>
        <w:t xml:space="preserve"> composition</w:t>
      </w:r>
      <w:r w:rsidRPr="006A72AA">
        <w:rPr>
          <w:lang w:val="en-GB"/>
        </w:rPr>
        <w:t>s</w:t>
      </w:r>
      <w:r w:rsidR="00746F48" w:rsidRPr="006A72AA">
        <w:rPr>
          <w:lang w:val="en-GB"/>
        </w:rPr>
        <w:t xml:space="preserve"> of municipal solid waste and its derivate RD</w:t>
      </w:r>
      <w:r w:rsidRPr="006A72AA">
        <w:rPr>
          <w:lang w:val="en-GB"/>
        </w:rPr>
        <w:t>F</w:t>
      </w:r>
      <w:r w:rsidR="00924673" w:rsidRPr="006A72AA">
        <w:rPr>
          <w:lang w:val="en-GB"/>
        </w:rPr>
        <w:t xml:space="preserve"> </w:t>
      </w:r>
      <w:r w:rsidRPr="006A72AA">
        <w:rPr>
          <w:lang w:val="en-GB"/>
        </w:rPr>
        <w:t>depend</w:t>
      </w:r>
      <w:r w:rsidR="00746F48" w:rsidRPr="006A72AA">
        <w:rPr>
          <w:lang w:val="en-GB"/>
        </w:rPr>
        <w:t xml:space="preserve"> o</w:t>
      </w:r>
      <w:r w:rsidR="005C6F61" w:rsidRPr="006A72AA">
        <w:rPr>
          <w:lang w:val="en-GB"/>
        </w:rPr>
        <w:t>n</w:t>
      </w:r>
      <w:r w:rsidR="00746F48" w:rsidRPr="006A72AA">
        <w:rPr>
          <w:lang w:val="en-GB"/>
        </w:rPr>
        <w:t xml:space="preserve"> cultural and socioeconomic factors, </w:t>
      </w:r>
      <w:r w:rsidRPr="006A72AA">
        <w:rPr>
          <w:lang w:val="en-GB"/>
        </w:rPr>
        <w:t>this</w:t>
      </w:r>
      <w:r w:rsidR="00746F48" w:rsidRPr="006A72AA">
        <w:rPr>
          <w:lang w:val="en-GB"/>
        </w:rPr>
        <w:t xml:space="preserve"> </w:t>
      </w:r>
      <w:r w:rsidR="00E44CDC" w:rsidRPr="006A72AA">
        <w:rPr>
          <w:lang w:val="en-GB"/>
        </w:rPr>
        <w:t xml:space="preserve">investigation </w:t>
      </w:r>
      <w:r w:rsidRPr="006A72AA">
        <w:rPr>
          <w:lang w:val="en-GB"/>
        </w:rPr>
        <w:t>is based on the composition of RDF</w:t>
      </w:r>
      <w:r w:rsidR="00E44CDC" w:rsidRPr="006A72AA">
        <w:rPr>
          <w:lang w:val="en-GB"/>
        </w:rPr>
        <w:t xml:space="preserve"> </w:t>
      </w:r>
      <w:r w:rsidRPr="006A72AA">
        <w:rPr>
          <w:lang w:val="en-GB"/>
        </w:rPr>
        <w:t>reported by</w:t>
      </w:r>
      <w:r w:rsidR="00E44CDC" w:rsidRPr="006A72AA">
        <w:rPr>
          <w:lang w:val="en-GB"/>
        </w:rPr>
        <w:t xml:space="preserve"> </w:t>
      </w:r>
      <w:r w:rsidRPr="006A72AA">
        <w:rPr>
          <w:lang w:val="en-GB"/>
        </w:rPr>
        <w:t xml:space="preserve">previous studies that considered the </w:t>
      </w:r>
      <w:r w:rsidRPr="006A72AA">
        <w:rPr>
          <w:lang w:val="en-GB"/>
        </w:rPr>
        <w:lastRenderedPageBreak/>
        <w:t>Brazilian context</w:t>
      </w:r>
      <w:r w:rsidR="00924673" w:rsidRPr="006A72AA">
        <w:rPr>
          <w:lang w:val="en-GB"/>
        </w:rPr>
        <w:t xml:space="preserve"> </w:t>
      </w:r>
      <w:r w:rsidRPr="006A72AA">
        <w:rPr>
          <w:lang w:val="en-GB"/>
        </w:rPr>
        <w:t>(</w:t>
      </w:r>
      <w:r w:rsidR="00746F48" w:rsidRPr="006A72AA">
        <w:rPr>
          <w:lang w:val="en-GB"/>
        </w:rPr>
        <w:t>Násner et al.</w:t>
      </w:r>
      <w:r w:rsidRPr="006A72AA">
        <w:rPr>
          <w:lang w:val="en-GB"/>
        </w:rPr>
        <w:t>,</w:t>
      </w:r>
      <w:r w:rsidR="00746F48" w:rsidRPr="006A72AA">
        <w:rPr>
          <w:lang w:val="en-GB"/>
        </w:rPr>
        <w:t xml:space="preserve"> 2017</w:t>
      </w:r>
      <w:r w:rsidRPr="006A72AA">
        <w:rPr>
          <w:lang w:val="en-GB"/>
        </w:rPr>
        <w:t>;</w:t>
      </w:r>
      <w:r w:rsidR="00746F48" w:rsidRPr="006A72AA">
        <w:rPr>
          <w:lang w:val="en-GB"/>
        </w:rPr>
        <w:t xml:space="preserve"> Marques et al.</w:t>
      </w:r>
      <w:r w:rsidRPr="006A72AA">
        <w:rPr>
          <w:lang w:val="en-GB"/>
        </w:rPr>
        <w:t>,</w:t>
      </w:r>
      <w:r w:rsidR="00746F48" w:rsidRPr="006A72AA">
        <w:rPr>
          <w:lang w:val="en-GB"/>
        </w:rPr>
        <w:t xml:space="preserve"> 2021)</w:t>
      </w:r>
      <w:r w:rsidRPr="006A72AA">
        <w:rPr>
          <w:lang w:val="en-GB"/>
        </w:rPr>
        <w:t xml:space="preserve">. </w:t>
      </w:r>
      <w:r w:rsidR="005C6F61" w:rsidRPr="006A72AA">
        <w:rPr>
          <w:lang w:val="en-GB"/>
        </w:rPr>
        <w:t>The</w:t>
      </w:r>
      <w:r w:rsidR="0053677C" w:rsidRPr="006A72AA">
        <w:rPr>
          <w:lang w:val="en-GB"/>
        </w:rPr>
        <w:t xml:space="preserve"> average composition used </w:t>
      </w:r>
      <w:r w:rsidR="00746F48" w:rsidRPr="006A72AA">
        <w:rPr>
          <w:lang w:val="en-GB"/>
        </w:rPr>
        <w:t xml:space="preserve">to describe this non-conventional component </w:t>
      </w:r>
      <w:r w:rsidR="00220F1D" w:rsidRPr="006A72AA">
        <w:rPr>
          <w:lang w:val="en-GB"/>
        </w:rPr>
        <w:t>in</w:t>
      </w:r>
      <w:r w:rsidR="00746F48" w:rsidRPr="006A72AA">
        <w:rPr>
          <w:lang w:val="en-GB"/>
        </w:rPr>
        <w:t xml:space="preserve"> Aspen</w:t>
      </w:r>
      <w:r w:rsidR="00924673" w:rsidRPr="006A72AA">
        <w:rPr>
          <w:lang w:val="en-GB"/>
        </w:rPr>
        <w:t xml:space="preserve"> </w:t>
      </w:r>
      <w:r w:rsidR="00746F48" w:rsidRPr="006A72AA">
        <w:rPr>
          <w:lang w:val="en-GB"/>
        </w:rPr>
        <w:t>Plus v8.6 is</w:t>
      </w:r>
      <w:r w:rsidR="005C6F61" w:rsidRPr="006A72AA">
        <w:rPr>
          <w:lang w:val="en-GB"/>
        </w:rPr>
        <w:t xml:space="preserve"> presented in</w:t>
      </w:r>
      <w:r w:rsidR="00746F48" w:rsidRPr="006A72AA">
        <w:rPr>
          <w:lang w:val="en-GB"/>
        </w:rPr>
        <w:t xml:space="preserve"> Table 1.</w:t>
      </w:r>
      <w:r w:rsidR="00827A8B" w:rsidRPr="006A72AA">
        <w:rPr>
          <w:lang w:val="en-GB"/>
        </w:rPr>
        <w:t xml:space="preserve"> The LHV (kJ/kg) was estimated using Mendeliev’s Estimation (Equation 1), which requires only the ultimate analysis percentages on a wet basis (Cortez</w:t>
      </w:r>
      <w:r w:rsidR="005C6F61" w:rsidRPr="006A72AA">
        <w:rPr>
          <w:lang w:val="en-GB"/>
        </w:rPr>
        <w:t xml:space="preserve"> et al.,</w:t>
      </w:r>
      <w:r w:rsidR="00827A8B" w:rsidRPr="006A72AA">
        <w:rPr>
          <w:lang w:val="en-GB"/>
        </w:rPr>
        <w:t xml:space="preserve"> 2008).</w:t>
      </w:r>
    </w:p>
    <w:p w14:paraId="6D31137D" w14:textId="77777777" w:rsidR="00EE5823" w:rsidRPr="006A72AA" w:rsidRDefault="00EE5823" w:rsidP="00EE5823">
      <w:pPr>
        <w:pStyle w:val="CETBodytext"/>
        <w:rPr>
          <w:lang w:val="en-GB"/>
        </w:rPr>
      </w:pPr>
    </w:p>
    <w:p w14:paraId="0EC59940" w14:textId="161AEC55" w:rsidR="00746F48" w:rsidRPr="006A72AA" w:rsidRDefault="00827A8B" w:rsidP="00EE5823">
      <w:pPr>
        <w:pStyle w:val="CETBodytext"/>
        <w:rPr>
          <w:lang w:val="en-GB"/>
        </w:rPr>
      </w:pPr>
      <w:r w:rsidRPr="006A72AA">
        <w:rPr>
          <w:lang w:val="en-GB"/>
        </w:rPr>
        <w:t xml:space="preserve">Peng-Robinson’s Equation of State was selected to calculate the thermodynamic properties of the </w:t>
      </w:r>
      <w:r w:rsidR="00970425" w:rsidRPr="006A72AA">
        <w:rPr>
          <w:lang w:val="en-GB"/>
        </w:rPr>
        <w:t xml:space="preserve">gasification </w:t>
      </w:r>
      <w:r w:rsidRPr="006A72AA">
        <w:rPr>
          <w:lang w:val="en-GB"/>
        </w:rPr>
        <w:t>components</w:t>
      </w:r>
      <w:r w:rsidR="00E44CDC" w:rsidRPr="006A72AA">
        <w:rPr>
          <w:lang w:val="en-GB"/>
        </w:rPr>
        <w:t xml:space="preserve"> </w:t>
      </w:r>
      <w:r w:rsidRPr="006A72AA">
        <w:rPr>
          <w:lang w:val="en-GB"/>
        </w:rPr>
        <w:t>(Santiago et al</w:t>
      </w:r>
      <w:r w:rsidR="005C6F61" w:rsidRPr="006A72AA">
        <w:rPr>
          <w:lang w:val="en-GB"/>
        </w:rPr>
        <w:t>.</w:t>
      </w:r>
      <w:r w:rsidRPr="006A72AA">
        <w:rPr>
          <w:lang w:val="en-GB"/>
        </w:rPr>
        <w:t>, 2020)</w:t>
      </w:r>
      <w:r w:rsidR="0053677C" w:rsidRPr="006A72AA">
        <w:rPr>
          <w:lang w:val="en-GB"/>
        </w:rPr>
        <w:t xml:space="preserve">, </w:t>
      </w:r>
      <w:r w:rsidR="00970425" w:rsidRPr="006A72AA">
        <w:rPr>
          <w:lang w:val="en-GB"/>
        </w:rPr>
        <w:t xml:space="preserve">and the thermodynamic properties of steam were calculated by the IAPWS-95 method. </w:t>
      </w:r>
      <w:r w:rsidR="0053677C" w:rsidRPr="006A72AA">
        <w:rPr>
          <w:lang w:val="en-GB"/>
        </w:rPr>
        <w:t xml:space="preserve">As </w:t>
      </w:r>
      <w:r w:rsidR="00924673" w:rsidRPr="006A72AA">
        <w:rPr>
          <w:lang w:val="en-GB"/>
        </w:rPr>
        <w:t>f</w:t>
      </w:r>
      <w:r w:rsidR="0053677C" w:rsidRPr="006A72AA">
        <w:rPr>
          <w:lang w:val="en-GB"/>
        </w:rPr>
        <w:t xml:space="preserve">or the non-conventional </w:t>
      </w:r>
      <w:r w:rsidR="00970425" w:rsidRPr="006A72AA">
        <w:rPr>
          <w:lang w:val="en-GB"/>
        </w:rPr>
        <w:t>components</w:t>
      </w:r>
      <w:r w:rsidR="0053677C" w:rsidRPr="006A72AA">
        <w:rPr>
          <w:lang w:val="en-GB"/>
        </w:rPr>
        <w:t xml:space="preserve">, HCOALGEN and DCOALIGT were employed to calculate both enthalpy and density, allowing </w:t>
      </w:r>
      <w:r w:rsidR="005C6F61" w:rsidRPr="006A72AA">
        <w:rPr>
          <w:lang w:val="en-GB"/>
        </w:rPr>
        <w:t>adding t</w:t>
      </w:r>
      <w:r w:rsidR="0053677C" w:rsidRPr="006A72AA">
        <w:rPr>
          <w:lang w:val="en-GB"/>
        </w:rPr>
        <w:t xml:space="preserve">he proximate and ultimate analysis </w:t>
      </w:r>
      <w:r w:rsidR="00970425" w:rsidRPr="006A72AA">
        <w:rPr>
          <w:lang w:val="en-GB"/>
        </w:rPr>
        <w:t xml:space="preserve">of RDF </w:t>
      </w:r>
      <w:r w:rsidR="005C6F61" w:rsidRPr="006A72AA">
        <w:rPr>
          <w:lang w:val="en-GB"/>
        </w:rPr>
        <w:t>in</w:t>
      </w:r>
      <w:r w:rsidR="0053677C" w:rsidRPr="006A72AA">
        <w:rPr>
          <w:lang w:val="en-GB"/>
        </w:rPr>
        <w:t xml:space="preserve"> the simulation environment. More assumptions regarding the simulation are described below</w:t>
      </w:r>
      <w:r w:rsidRPr="006A72AA">
        <w:rPr>
          <w:lang w:val="en-GB"/>
        </w:rPr>
        <w:t>:</w:t>
      </w:r>
    </w:p>
    <w:p w14:paraId="4D94EE69" w14:textId="77777777" w:rsidR="0058089D" w:rsidRPr="006A72AA" w:rsidRDefault="0058089D" w:rsidP="00827A8B">
      <w:pPr>
        <w:spacing w:line="240" w:lineRule="auto"/>
        <w:rPr>
          <w:rFonts w:cs="Arial"/>
          <w:szCs w:val="18"/>
        </w:rPr>
      </w:pPr>
    </w:p>
    <w:p w14:paraId="658B1AE4" w14:textId="77777777" w:rsidR="0058089D" w:rsidRPr="006A72AA" w:rsidRDefault="005C6F61" w:rsidP="0058089D">
      <w:pPr>
        <w:pStyle w:val="CETListbullets"/>
        <w:numPr>
          <w:ilvl w:val="0"/>
          <w:numId w:val="13"/>
        </w:numPr>
      </w:pPr>
      <w:r w:rsidRPr="006A72AA">
        <w:t>The p</w:t>
      </w:r>
      <w:r w:rsidR="0058089D" w:rsidRPr="006A72AA">
        <w:t xml:space="preserve">rocess </w:t>
      </w:r>
      <w:r w:rsidR="0053677C" w:rsidRPr="006A72AA">
        <w:t xml:space="preserve">is </w:t>
      </w:r>
      <w:r w:rsidR="0058089D" w:rsidRPr="006A72AA">
        <w:t>at steady state conditions.</w:t>
      </w:r>
    </w:p>
    <w:p w14:paraId="24939A7C" w14:textId="77777777" w:rsidR="0058089D" w:rsidRPr="006A72AA" w:rsidRDefault="0058089D" w:rsidP="0058089D">
      <w:pPr>
        <w:pStyle w:val="CETListbullets"/>
        <w:numPr>
          <w:ilvl w:val="0"/>
          <w:numId w:val="13"/>
        </w:numPr>
      </w:pPr>
      <w:r w:rsidRPr="006A72AA">
        <w:t>All chemical reactions reach the thermodynamic equilibrium.</w:t>
      </w:r>
    </w:p>
    <w:p w14:paraId="4D9A51FA" w14:textId="77777777" w:rsidR="0058089D" w:rsidRPr="006A72AA" w:rsidRDefault="0058089D" w:rsidP="0058089D">
      <w:pPr>
        <w:pStyle w:val="CETListbullets"/>
        <w:numPr>
          <w:ilvl w:val="0"/>
          <w:numId w:val="13"/>
        </w:numPr>
      </w:pPr>
      <w:r w:rsidRPr="006A72AA">
        <w:t>Air (21% O</w:t>
      </w:r>
      <w:r w:rsidRPr="006A72AA">
        <w:rPr>
          <w:vertAlign w:val="subscript"/>
        </w:rPr>
        <w:t>2</w:t>
      </w:r>
      <w:r w:rsidRPr="006A72AA">
        <w:t xml:space="preserve"> and 79% N</w:t>
      </w:r>
      <w:r w:rsidRPr="006A72AA">
        <w:rPr>
          <w:vertAlign w:val="subscript"/>
        </w:rPr>
        <w:t>2</w:t>
      </w:r>
      <w:r w:rsidR="00E96AAF" w:rsidRPr="006A72AA">
        <w:t>, mol fraction</w:t>
      </w:r>
      <w:r w:rsidRPr="006A72AA">
        <w:t>) is used as a gasification agent</w:t>
      </w:r>
      <w:r w:rsidR="00D57050" w:rsidRPr="006A72AA">
        <w:t>.</w:t>
      </w:r>
    </w:p>
    <w:p w14:paraId="3447AFE0" w14:textId="77777777" w:rsidR="0058089D" w:rsidRPr="006A72AA" w:rsidRDefault="0058089D" w:rsidP="0058089D">
      <w:pPr>
        <w:pStyle w:val="CETListbullets"/>
        <w:numPr>
          <w:ilvl w:val="0"/>
          <w:numId w:val="13"/>
        </w:numPr>
      </w:pPr>
      <w:r w:rsidRPr="006A72AA">
        <w:t>No temperature gradients are considered within the reactors, nor are heat losses through the walls.</w:t>
      </w:r>
    </w:p>
    <w:p w14:paraId="3D32E5DD" w14:textId="6814150E" w:rsidR="0058089D" w:rsidRPr="006A72AA" w:rsidRDefault="0058089D" w:rsidP="0058089D">
      <w:pPr>
        <w:pStyle w:val="CETListbullets"/>
        <w:numPr>
          <w:ilvl w:val="0"/>
          <w:numId w:val="13"/>
        </w:numPr>
      </w:pPr>
      <w:r w:rsidRPr="006A72AA">
        <w:t>No intermediate products are considered</w:t>
      </w:r>
      <w:r w:rsidR="00E44CDC" w:rsidRPr="006A72AA">
        <w:t>;</w:t>
      </w:r>
      <w:r w:rsidRPr="006A72AA">
        <w:t xml:space="preserve"> no information about the chemical reactions is given</w:t>
      </w:r>
      <w:r w:rsidR="00E44CDC" w:rsidRPr="006A72AA">
        <w:t>,</w:t>
      </w:r>
      <w:r w:rsidRPr="006A72AA">
        <w:t xml:space="preserve"> but</w:t>
      </w:r>
      <w:r w:rsidR="00E44CDC" w:rsidRPr="006A72AA">
        <w:t xml:space="preserve"> </w:t>
      </w:r>
      <w:r w:rsidRPr="006A72AA">
        <w:t>the final compounds (i.e., H</w:t>
      </w:r>
      <w:r w:rsidRPr="006A72AA">
        <w:rPr>
          <w:vertAlign w:val="subscript"/>
        </w:rPr>
        <w:t>2</w:t>
      </w:r>
      <w:r w:rsidRPr="006A72AA">
        <w:t>, O</w:t>
      </w:r>
      <w:r w:rsidRPr="006A72AA">
        <w:rPr>
          <w:vertAlign w:val="subscript"/>
        </w:rPr>
        <w:t>2</w:t>
      </w:r>
      <w:r w:rsidRPr="006A72AA">
        <w:t>, CO, CO</w:t>
      </w:r>
      <w:r w:rsidRPr="006A72AA">
        <w:rPr>
          <w:vertAlign w:val="subscript"/>
        </w:rPr>
        <w:t>2</w:t>
      </w:r>
      <w:r w:rsidRPr="006A72AA">
        <w:t>, H</w:t>
      </w:r>
      <w:r w:rsidRPr="006A72AA">
        <w:rPr>
          <w:vertAlign w:val="subscript"/>
        </w:rPr>
        <w:t>2</w:t>
      </w:r>
      <w:r w:rsidRPr="006A72AA">
        <w:t>S)</w:t>
      </w:r>
      <w:r w:rsidR="00E44CDC" w:rsidRPr="006A72AA">
        <w:t xml:space="preserve"> are considered</w:t>
      </w:r>
      <w:r w:rsidRPr="006A72AA">
        <w:t>.</w:t>
      </w:r>
    </w:p>
    <w:p w14:paraId="64A91FAE" w14:textId="634A7DA8" w:rsidR="0053677C" w:rsidRPr="006A72AA" w:rsidRDefault="0053677C" w:rsidP="0058089D">
      <w:pPr>
        <w:pStyle w:val="CETListbullets"/>
        <w:numPr>
          <w:ilvl w:val="0"/>
          <w:numId w:val="13"/>
        </w:numPr>
      </w:pPr>
      <w:r w:rsidRPr="006A72AA">
        <w:t xml:space="preserve">Ashes are input as </w:t>
      </w:r>
      <w:r w:rsidR="00924673" w:rsidRPr="006A72AA">
        <w:t>a</w:t>
      </w:r>
      <w:r w:rsidRPr="006A72AA">
        <w:t xml:space="preserve"> non-conventional component.</w:t>
      </w:r>
    </w:p>
    <w:p w14:paraId="47315297" w14:textId="77777777" w:rsidR="0058089D" w:rsidRPr="006A72AA" w:rsidRDefault="0058089D" w:rsidP="0058089D">
      <w:pPr>
        <w:pStyle w:val="CETListbullets"/>
        <w:numPr>
          <w:ilvl w:val="0"/>
          <w:numId w:val="13"/>
        </w:numPr>
      </w:pPr>
      <w:r w:rsidRPr="006A72AA">
        <w:t>“Char” is represented by graphitic carbon.</w:t>
      </w:r>
    </w:p>
    <w:p w14:paraId="4A3A58C6" w14:textId="77777777" w:rsidR="0058089D" w:rsidRPr="006A72AA" w:rsidRDefault="0058089D" w:rsidP="0058089D">
      <w:pPr>
        <w:pStyle w:val="PargrafodaLista"/>
        <w:spacing w:line="240" w:lineRule="auto"/>
        <w:ind w:left="0"/>
        <w:rPr>
          <w:rFonts w:eastAsiaTheme="minorEastAsia" w:cs="Arial"/>
          <w:szCs w:val="18"/>
        </w:rPr>
      </w:pPr>
    </w:p>
    <w:p w14:paraId="3B6C8FAD" w14:textId="380D6739" w:rsidR="00827A8B" w:rsidRPr="006A72AA" w:rsidRDefault="005C6F61" w:rsidP="00EE5823">
      <w:pPr>
        <w:pStyle w:val="CETBodytext"/>
        <w:rPr>
          <w:lang w:val="en-GB"/>
        </w:rPr>
      </w:pPr>
      <w:r w:rsidRPr="006A72AA">
        <w:rPr>
          <w:lang w:val="en-GB"/>
        </w:rPr>
        <w:t>A s</w:t>
      </w:r>
      <w:r w:rsidR="0058089D" w:rsidRPr="006A72AA">
        <w:rPr>
          <w:lang w:val="en-GB"/>
        </w:rPr>
        <w:t>toichiometric reaction (</w:t>
      </w:r>
      <w:r w:rsidR="00827A8B" w:rsidRPr="006A72AA">
        <w:rPr>
          <w:lang w:val="en-GB"/>
        </w:rPr>
        <w:t>E</w:t>
      </w:r>
      <w:r w:rsidR="0058089D" w:rsidRPr="006A72AA">
        <w:rPr>
          <w:lang w:val="en-GB"/>
        </w:rPr>
        <w:t xml:space="preserve">quation 2) was used to determine the minimum amount of agent to fully oxidize the </w:t>
      </w:r>
      <w:r w:rsidR="0077060A" w:rsidRPr="006A72AA">
        <w:rPr>
          <w:lang w:val="en-GB"/>
        </w:rPr>
        <w:t>RDF</w:t>
      </w:r>
      <w:r w:rsidR="0058089D" w:rsidRPr="006A72AA">
        <w:rPr>
          <w:lang w:val="en-GB"/>
        </w:rPr>
        <w:t xml:space="preserve">. The equivalent ratio (“ER”, </w:t>
      </w:r>
      <w:r w:rsidR="00827A8B" w:rsidRPr="006A72AA">
        <w:rPr>
          <w:lang w:val="en-GB"/>
        </w:rPr>
        <w:t>E</w:t>
      </w:r>
      <w:r w:rsidR="0058089D" w:rsidRPr="006A72AA">
        <w:rPr>
          <w:lang w:val="en-GB"/>
        </w:rPr>
        <w:t xml:space="preserve">quation 3) was adopted </w:t>
      </w:r>
      <w:r w:rsidR="00827A8B" w:rsidRPr="006A72AA">
        <w:rPr>
          <w:lang w:val="en-GB"/>
        </w:rPr>
        <w:t xml:space="preserve">as a parameter </w:t>
      </w:r>
      <w:r w:rsidR="0058089D" w:rsidRPr="006A72AA">
        <w:rPr>
          <w:lang w:val="en-GB"/>
        </w:rPr>
        <w:t>to better visualize the effects of operating below or above stoichiometric conditions, in which</w:t>
      </w:r>
      <w:r w:rsidR="00924673" w:rsidRPr="006A72AA">
        <w:rPr>
          <w:lang w:val="en-GB"/>
        </w:rPr>
        <w:t xml:space="preserv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m</m:t>
                </m:r>
              </m:e>
            </m:acc>
          </m:e>
          <m:sub>
            <m:r>
              <w:rPr>
                <w:rFonts w:ascii="Cambria Math" w:hAnsi="Cambria Math"/>
                <w:lang w:val="en-GB"/>
              </w:rPr>
              <m:t>a</m:t>
            </m:r>
          </m:sub>
        </m:sSub>
      </m:oMath>
      <w:r w:rsidR="0058089D" w:rsidRPr="006A72AA">
        <w:rPr>
          <w:lang w:val="en-GB"/>
        </w:rPr>
        <w:t xml:space="preserve"> </w:t>
      </w:r>
      <w:r w:rsidR="00924673" w:rsidRPr="006A72AA">
        <w:rPr>
          <w:lang w:val="en-GB"/>
        </w:rPr>
        <w:t xml:space="preserve">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m</m:t>
                </m:r>
              </m:e>
            </m:acc>
          </m:e>
          <m:sub>
            <m:r>
              <w:rPr>
                <w:rFonts w:ascii="Cambria Math" w:hAnsi="Cambria Math"/>
                <w:lang w:val="en-GB"/>
              </w:rPr>
              <m:t>RDF</m:t>
            </m:r>
          </m:sub>
        </m:sSub>
      </m:oMath>
      <w:r w:rsidR="00924673" w:rsidRPr="006A72AA">
        <w:rPr>
          <w:lang w:val="en-GB"/>
        </w:rPr>
        <w:t xml:space="preserve"> </w:t>
      </w:r>
      <w:r w:rsidR="0058089D" w:rsidRPr="006A72AA">
        <w:rPr>
          <w:lang w:val="en-GB"/>
        </w:rPr>
        <w:t>are the mass flowrates of air and RDF, respectively. The subindex “stoic” accounts for the stoichiometric conditions.</w:t>
      </w:r>
    </w:p>
    <w:p w14:paraId="4ED0C154" w14:textId="77777777" w:rsidR="00827A8B" w:rsidRPr="006A72AA" w:rsidRDefault="00827A8B" w:rsidP="00827A8B">
      <w:pPr>
        <w:pStyle w:val="CETBodytext"/>
        <w:ind w:firstLine="567"/>
        <w:rPr>
          <w:lang w:val="en-GB"/>
        </w:rPr>
      </w:pPr>
    </w:p>
    <w:p w14:paraId="3995996B" w14:textId="4BDCB17C" w:rsidR="00EE7D8B" w:rsidRPr="006A72AA" w:rsidRDefault="00827A8B" w:rsidP="00EE7D8B">
      <w:pPr>
        <w:pStyle w:val="CETBodytext"/>
        <w:rPr>
          <w:lang w:val="en-GB"/>
        </w:rPr>
      </w:pPr>
      <m:oMath>
        <m:r>
          <w:rPr>
            <w:rFonts w:ascii="Cambria Math" w:hAnsi="Cambria Math" w:cs="Arial"/>
            <w:lang w:val="en-GB"/>
          </w:rPr>
          <m:t>LHV=339</m:t>
        </m:r>
        <m:sSup>
          <m:sSupPr>
            <m:ctrlPr>
              <w:rPr>
                <w:rFonts w:ascii="Cambria Math" w:hAnsi="Cambria Math" w:cs="Arial"/>
                <w:i/>
                <w:lang w:val="en-GB"/>
              </w:rPr>
            </m:ctrlPr>
          </m:sSupPr>
          <m:e>
            <m:r>
              <w:rPr>
                <w:rFonts w:ascii="Cambria Math" w:hAnsi="Cambria Math" w:cs="Arial"/>
                <w:lang w:val="en-GB"/>
              </w:rPr>
              <m:t>C</m:t>
            </m:r>
          </m:e>
          <m:sup>
            <m:r>
              <w:rPr>
                <w:rFonts w:ascii="Cambria Math" w:hAnsi="Cambria Math" w:cs="Arial"/>
                <w:lang w:val="en-GB"/>
              </w:rPr>
              <m:t>w</m:t>
            </m:r>
          </m:sup>
        </m:sSup>
        <m:r>
          <w:rPr>
            <w:rFonts w:ascii="Cambria Math" w:hAnsi="Cambria Math" w:cs="Arial"/>
            <w:lang w:val="en-GB"/>
          </w:rPr>
          <m:t>+1030</m:t>
        </m:r>
        <m:sSup>
          <m:sSupPr>
            <m:ctrlPr>
              <w:rPr>
                <w:rFonts w:ascii="Cambria Math" w:hAnsi="Cambria Math" w:cs="Arial"/>
                <w:i/>
                <w:lang w:val="en-GB"/>
              </w:rPr>
            </m:ctrlPr>
          </m:sSupPr>
          <m:e>
            <m:r>
              <w:rPr>
                <w:rFonts w:ascii="Cambria Math" w:hAnsi="Cambria Math" w:cs="Arial"/>
                <w:lang w:val="en-GB"/>
              </w:rPr>
              <m:t>H</m:t>
            </m:r>
          </m:e>
          <m:sup>
            <m:r>
              <w:rPr>
                <w:rFonts w:ascii="Cambria Math" w:hAnsi="Cambria Math" w:cs="Arial"/>
                <w:lang w:val="en-GB"/>
              </w:rPr>
              <m:t>w</m:t>
            </m:r>
          </m:sup>
        </m:sSup>
        <m:r>
          <w:rPr>
            <w:rFonts w:ascii="Cambria Math" w:hAnsi="Cambria Math" w:cs="Arial"/>
            <w:lang w:val="en-GB"/>
          </w:rPr>
          <m:t>-109</m:t>
        </m:r>
        <m:d>
          <m:dPr>
            <m:ctrlPr>
              <w:rPr>
                <w:rFonts w:ascii="Cambria Math" w:hAnsi="Cambria Math" w:cs="Arial"/>
                <w:i/>
                <w:lang w:val="en-GB"/>
              </w:rPr>
            </m:ctrlPr>
          </m:dPr>
          <m:e>
            <m:sSup>
              <m:sSupPr>
                <m:ctrlPr>
                  <w:rPr>
                    <w:rFonts w:ascii="Cambria Math" w:hAnsi="Cambria Math" w:cs="Arial"/>
                    <w:i/>
                    <w:lang w:val="en-GB"/>
                  </w:rPr>
                </m:ctrlPr>
              </m:sSupPr>
              <m:e>
                <m:r>
                  <w:rPr>
                    <w:rFonts w:ascii="Cambria Math" w:hAnsi="Cambria Math" w:cs="Arial"/>
                    <w:lang w:val="en-GB"/>
                  </w:rPr>
                  <m:t>O</m:t>
                </m:r>
              </m:e>
              <m:sup>
                <m:r>
                  <w:rPr>
                    <w:rFonts w:ascii="Cambria Math" w:hAnsi="Cambria Math" w:cs="Arial"/>
                    <w:lang w:val="en-GB"/>
                  </w:rPr>
                  <m:t>w</m:t>
                </m:r>
              </m:sup>
            </m:sSup>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S</m:t>
                </m:r>
              </m:e>
              <m:sup>
                <m:r>
                  <w:rPr>
                    <w:rFonts w:ascii="Cambria Math" w:hAnsi="Cambria Math" w:cs="Arial"/>
                    <w:lang w:val="en-GB"/>
                  </w:rPr>
                  <m:t>w</m:t>
                </m:r>
              </m:sup>
            </m:sSup>
          </m:e>
        </m:d>
        <m:r>
          <w:rPr>
            <w:rFonts w:ascii="Cambria Math" w:hAnsi="Cambria Math" w:cs="Arial"/>
            <w:lang w:val="en-GB"/>
          </w:rPr>
          <m:t>-24×</m:t>
        </m:r>
        <m:sSup>
          <m:sSupPr>
            <m:ctrlPr>
              <w:rPr>
                <w:rFonts w:ascii="Cambria Math" w:hAnsi="Cambria Math" w:cs="Arial"/>
                <w:i/>
                <w:lang w:val="en-GB"/>
              </w:rPr>
            </m:ctrlPr>
          </m:sSupPr>
          <m:e>
            <m:r>
              <w:rPr>
                <w:rFonts w:ascii="Cambria Math" w:hAnsi="Cambria Math" w:cs="Arial"/>
                <w:lang w:val="en-GB"/>
              </w:rPr>
              <m:t>Moisture</m:t>
            </m:r>
          </m:e>
          <m:sup>
            <m:r>
              <w:rPr>
                <w:rFonts w:ascii="Cambria Math" w:hAnsi="Cambria Math" w:cs="Arial"/>
                <w:lang w:val="en-GB"/>
              </w:rPr>
              <m:t>w</m:t>
            </m:r>
          </m:sup>
        </m:sSup>
      </m:oMath>
      <w:r w:rsidRPr="006A72AA">
        <w:rPr>
          <w:lang w:val="en-GB"/>
        </w:rPr>
        <w:t xml:space="preserve">                </w:t>
      </w:r>
      <w:r w:rsidR="00924673" w:rsidRPr="006A72AA">
        <w:rPr>
          <w:lang w:val="en-GB"/>
        </w:rPr>
        <w:t xml:space="preserve"> </w:t>
      </w:r>
      <w:r w:rsidRPr="006A72AA">
        <w:rPr>
          <w:lang w:val="en-GB"/>
        </w:rPr>
        <w:t xml:space="preserve">                                                      </w:t>
      </w:r>
      <w:r w:rsidR="006A72AA">
        <w:rPr>
          <w:lang w:val="en-GB"/>
        </w:rPr>
        <w:t xml:space="preserve"> </w:t>
      </w:r>
      <w:r w:rsidRPr="006A72AA">
        <w:rPr>
          <w:lang w:val="en-GB"/>
        </w:rPr>
        <w:t xml:space="preserve">   (1)</w:t>
      </w:r>
    </w:p>
    <w:p w14:paraId="3B2B78E9" w14:textId="77777777" w:rsidR="00EE7D8B" w:rsidRPr="006A72AA" w:rsidRDefault="00EE7D8B" w:rsidP="00EE7D8B">
      <w:pPr>
        <w:pStyle w:val="CETBodytext"/>
        <w:rPr>
          <w:lang w:val="en-GB"/>
        </w:rPr>
      </w:pPr>
    </w:p>
    <w:p w14:paraId="0DCA50B9" w14:textId="2E0FC312" w:rsidR="0058089D" w:rsidRPr="006A72AA" w:rsidRDefault="00827A8B" w:rsidP="00EE7D8B">
      <w:pPr>
        <w:pStyle w:val="CETBodytext"/>
        <w:rPr>
          <w:lang w:val="en-GB"/>
        </w:rPr>
      </w:pPr>
      <m:oMath>
        <m:r>
          <w:rPr>
            <w:rFonts w:ascii="Cambria Math" w:hAnsi="Cambria Math" w:cs="Arial"/>
            <w:szCs w:val="18"/>
            <w:lang w:val="en-GB"/>
          </w:rPr>
          <m:t>αC+βH+γS+δO+εN+</m:t>
        </m:r>
        <m:r>
          <w:rPr>
            <w:rFonts w:ascii="Cambria Math" w:hAnsi="Cambria Math" w:cs="Arial"/>
            <w:szCs w:val="18"/>
          </w:rPr>
          <m:t>ζ</m:t>
        </m:r>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O</m:t>
                </m:r>
              </m:e>
              <m:sub>
                <m:r>
                  <w:rPr>
                    <w:rFonts w:ascii="Cambria Math" w:hAnsi="Cambria Math" w:cs="Arial"/>
                    <w:szCs w:val="18"/>
                  </w:rPr>
                  <m:t>2</m:t>
                </m:r>
              </m:sub>
            </m:sSub>
            <m:r>
              <w:rPr>
                <w:rFonts w:ascii="Cambria Math" w:hAnsi="Cambria Math" w:cs="Arial"/>
                <w:szCs w:val="18"/>
              </w:rPr>
              <m:t>+3.76</m:t>
            </m:r>
            <m:sSub>
              <m:sSubPr>
                <m:ctrlPr>
                  <w:rPr>
                    <w:rFonts w:ascii="Cambria Math" w:hAnsi="Cambria Math" w:cs="Arial"/>
                    <w:i/>
                    <w:szCs w:val="18"/>
                  </w:rPr>
                </m:ctrlPr>
              </m:sSubPr>
              <m:e>
                <m:r>
                  <w:rPr>
                    <w:rFonts w:ascii="Cambria Math" w:hAnsi="Cambria Math" w:cs="Arial"/>
                    <w:szCs w:val="18"/>
                  </w:rPr>
                  <m:t>N</m:t>
                </m:r>
              </m:e>
              <m:sub>
                <m:r>
                  <w:rPr>
                    <w:rFonts w:ascii="Cambria Math" w:hAnsi="Cambria Math" w:cs="Arial"/>
                    <w:szCs w:val="18"/>
                  </w:rPr>
                  <m:t>2</m:t>
                </m:r>
              </m:sub>
            </m:sSub>
          </m:e>
        </m:d>
        <m:r>
          <w:rPr>
            <w:rFonts w:ascii="Cambria Math" w:hAnsi="Cambria Math" w:cs="Arial"/>
            <w:szCs w:val="18"/>
          </w:rPr>
          <m:t>→η</m:t>
        </m:r>
        <m:sSub>
          <m:sSubPr>
            <m:ctrlPr>
              <w:rPr>
                <w:rFonts w:ascii="Cambria Math" w:hAnsi="Cambria Math" w:cs="Arial"/>
                <w:i/>
                <w:szCs w:val="18"/>
              </w:rPr>
            </m:ctrlPr>
          </m:sSubPr>
          <m:e>
            <m:r>
              <w:rPr>
                <w:rFonts w:ascii="Cambria Math" w:hAnsi="Cambria Math" w:cs="Arial"/>
                <w:szCs w:val="18"/>
              </w:rPr>
              <m:t>CO</m:t>
            </m:r>
          </m:e>
          <m:sub>
            <m:r>
              <w:rPr>
                <w:rFonts w:ascii="Cambria Math" w:hAnsi="Cambria Math" w:cs="Arial"/>
                <w:szCs w:val="18"/>
              </w:rPr>
              <m:t>2</m:t>
            </m:r>
          </m:sub>
        </m:sSub>
        <m:r>
          <w:rPr>
            <w:rFonts w:ascii="Cambria Math" w:hAnsi="Cambria Math" w:cs="Arial"/>
            <w:szCs w:val="18"/>
          </w:rPr>
          <m:t>+θ</m:t>
        </m:r>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2</m:t>
            </m:r>
          </m:sub>
        </m:sSub>
        <m:r>
          <w:rPr>
            <w:rFonts w:ascii="Cambria Math" w:hAnsi="Cambria Math" w:cs="Arial"/>
            <w:szCs w:val="18"/>
          </w:rPr>
          <m:t>O+ι</m:t>
        </m:r>
        <m:sSub>
          <m:sSubPr>
            <m:ctrlPr>
              <w:rPr>
                <w:rFonts w:ascii="Cambria Math" w:hAnsi="Cambria Math" w:cs="Arial"/>
                <w:i/>
                <w:szCs w:val="18"/>
              </w:rPr>
            </m:ctrlPr>
          </m:sSubPr>
          <m:e>
            <m:r>
              <w:rPr>
                <w:rFonts w:ascii="Cambria Math" w:hAnsi="Cambria Math" w:cs="Arial"/>
                <w:szCs w:val="18"/>
              </w:rPr>
              <m:t>SO</m:t>
            </m:r>
          </m:e>
          <m:sub>
            <m:r>
              <w:rPr>
                <w:rFonts w:ascii="Cambria Math" w:hAnsi="Cambria Math" w:cs="Arial"/>
                <w:szCs w:val="18"/>
              </w:rPr>
              <m:t>2</m:t>
            </m:r>
          </m:sub>
        </m:sSub>
        <m:r>
          <w:rPr>
            <w:rFonts w:ascii="Cambria Math" w:hAnsi="Cambria Math" w:cs="Arial"/>
            <w:szCs w:val="18"/>
          </w:rPr>
          <m:t>+κ</m:t>
        </m:r>
        <m:sSub>
          <m:sSubPr>
            <m:ctrlPr>
              <w:rPr>
                <w:rFonts w:ascii="Cambria Math" w:hAnsi="Cambria Math" w:cs="Arial"/>
                <w:i/>
                <w:szCs w:val="18"/>
              </w:rPr>
            </m:ctrlPr>
          </m:sSubPr>
          <m:e>
            <m:r>
              <w:rPr>
                <w:rFonts w:ascii="Cambria Math" w:hAnsi="Cambria Math" w:cs="Arial"/>
                <w:szCs w:val="18"/>
              </w:rPr>
              <m:t>N</m:t>
            </m:r>
          </m:e>
          <m:sub>
            <m:r>
              <w:rPr>
                <w:rFonts w:ascii="Cambria Math" w:hAnsi="Cambria Math" w:cs="Arial"/>
                <w:szCs w:val="18"/>
              </w:rPr>
              <m:t>2</m:t>
            </m:r>
          </m:sub>
        </m:sSub>
      </m:oMath>
      <w:r w:rsidR="00EE7D8B" w:rsidRPr="006A72AA">
        <w:rPr>
          <w:szCs w:val="18"/>
        </w:rPr>
        <w:t xml:space="preserve">                     </w:t>
      </w:r>
      <w:r w:rsidR="00924673" w:rsidRPr="006A72AA">
        <w:rPr>
          <w:szCs w:val="18"/>
        </w:rPr>
        <w:t xml:space="preserve"> </w:t>
      </w:r>
      <w:r w:rsidR="00EE7D8B" w:rsidRPr="006A72AA">
        <w:rPr>
          <w:szCs w:val="18"/>
        </w:rPr>
        <w:t xml:space="preserve">                              </w:t>
      </w:r>
      <w:r w:rsidR="006A72AA">
        <w:rPr>
          <w:szCs w:val="18"/>
        </w:rPr>
        <w:t xml:space="preserve"> </w:t>
      </w:r>
      <w:r w:rsidR="00EE7D8B" w:rsidRPr="006A72AA">
        <w:rPr>
          <w:szCs w:val="18"/>
        </w:rPr>
        <w:t xml:space="preserve">   (2)</w:t>
      </w:r>
    </w:p>
    <w:p w14:paraId="25878706" w14:textId="11F09BB7" w:rsidR="0058089D" w:rsidRPr="006A72AA" w:rsidRDefault="006A72AA" w:rsidP="0058089D">
      <w:pPr>
        <w:pStyle w:val="PargrafodaLista"/>
        <w:spacing w:line="240" w:lineRule="auto"/>
        <w:ind w:left="0"/>
        <w:rPr>
          <w:rFonts w:eastAsiaTheme="minorEastAsia" w:cs="Arial"/>
          <w:szCs w:val="18"/>
        </w:rPr>
      </w:pPr>
      <w:r>
        <w:rPr>
          <w:rFonts w:eastAsiaTheme="minorEastAsia" w:cs="Arial"/>
          <w:szCs w:val="18"/>
        </w:rPr>
        <w:t xml:space="preserve"> </w:t>
      </w:r>
    </w:p>
    <w:p w14:paraId="5B53C566" w14:textId="70BCB174" w:rsidR="0058089D" w:rsidRDefault="0058089D" w:rsidP="0058089D">
      <w:pPr>
        <w:rPr>
          <w:rFonts w:ascii="Times New Roman" w:eastAsiaTheme="minorEastAsia" w:hAnsi="Times New Roman"/>
          <w:sz w:val="24"/>
          <w:szCs w:val="24"/>
        </w:rPr>
      </w:pPr>
      <m:oMath>
        <m:r>
          <w:rPr>
            <w:rFonts w:ascii="Cambria Math" w:eastAsiaTheme="minorEastAsia" w:hAnsi="Cambria Math" w:cs="Arial"/>
            <w:szCs w:val="18"/>
          </w:rPr>
          <m:t>ER=</m:t>
        </m:r>
        <m:f>
          <m:fPr>
            <m:ctrlPr>
              <w:rPr>
                <w:rFonts w:ascii="Cambria Math" w:eastAsiaTheme="minorEastAsia" w:hAnsi="Cambria Math" w:cs="Arial"/>
                <w:i/>
                <w:szCs w:val="18"/>
              </w:rPr>
            </m:ctrlPr>
          </m:fPr>
          <m:num>
            <m:d>
              <m:dPr>
                <m:ctrlPr>
                  <w:rPr>
                    <w:rFonts w:ascii="Cambria Math" w:eastAsiaTheme="minorEastAsia" w:hAnsi="Cambria Math" w:cs="Arial"/>
                    <w:i/>
                    <w:szCs w:val="18"/>
                  </w:rPr>
                </m:ctrlPr>
              </m:dPr>
              <m:e>
                <m:f>
                  <m:fPr>
                    <m:ctrlPr>
                      <w:rPr>
                        <w:rFonts w:ascii="Cambria Math" w:eastAsiaTheme="minorEastAsia" w:hAnsi="Cambria Math" w:cs="Arial"/>
                        <w:i/>
                        <w:szCs w:val="18"/>
                      </w:rPr>
                    </m:ctrlPr>
                  </m:fPr>
                  <m:num>
                    <m:sSub>
                      <m:sSubPr>
                        <m:ctrlPr>
                          <w:rPr>
                            <w:rFonts w:ascii="Cambria Math" w:eastAsiaTheme="minorEastAsia" w:hAnsi="Cambria Math" w:cs="Arial"/>
                            <w:i/>
                            <w:szCs w:val="18"/>
                          </w:rPr>
                        </m:ctrlPr>
                      </m:sSubPr>
                      <m:e>
                        <m:acc>
                          <m:accPr>
                            <m:chr m:val="̇"/>
                            <m:ctrlPr>
                              <w:rPr>
                                <w:rFonts w:ascii="Cambria Math" w:eastAsiaTheme="minorEastAsia" w:hAnsi="Cambria Math" w:cs="Arial"/>
                                <w:i/>
                                <w:szCs w:val="18"/>
                              </w:rPr>
                            </m:ctrlPr>
                          </m:accPr>
                          <m:e>
                            <m:r>
                              <w:rPr>
                                <w:rFonts w:ascii="Cambria Math" w:eastAsiaTheme="minorEastAsia" w:hAnsi="Cambria Math" w:cs="Arial"/>
                                <w:szCs w:val="18"/>
                              </w:rPr>
                              <m:t>m</m:t>
                            </m:r>
                          </m:e>
                        </m:acc>
                      </m:e>
                      <m:sub>
                        <m:r>
                          <w:rPr>
                            <w:rFonts w:ascii="Cambria Math" w:eastAsiaTheme="minorEastAsia" w:hAnsi="Cambria Math" w:cs="Arial"/>
                            <w:szCs w:val="18"/>
                          </w:rPr>
                          <m:t>a</m:t>
                        </m:r>
                      </m:sub>
                    </m:sSub>
                  </m:num>
                  <m:den>
                    <m:sSub>
                      <m:sSubPr>
                        <m:ctrlPr>
                          <w:rPr>
                            <w:rFonts w:ascii="Cambria Math" w:eastAsiaTheme="minorEastAsia" w:hAnsi="Cambria Math" w:cs="Arial"/>
                            <w:i/>
                            <w:szCs w:val="18"/>
                          </w:rPr>
                        </m:ctrlPr>
                      </m:sSubPr>
                      <m:e>
                        <m:acc>
                          <m:accPr>
                            <m:chr m:val="̇"/>
                            <m:ctrlPr>
                              <w:rPr>
                                <w:rFonts w:ascii="Cambria Math" w:eastAsiaTheme="minorEastAsia" w:hAnsi="Cambria Math" w:cs="Arial"/>
                                <w:i/>
                                <w:szCs w:val="18"/>
                              </w:rPr>
                            </m:ctrlPr>
                          </m:accPr>
                          <m:e>
                            <m:r>
                              <w:rPr>
                                <w:rFonts w:ascii="Cambria Math" w:eastAsiaTheme="minorEastAsia" w:hAnsi="Cambria Math" w:cs="Arial"/>
                                <w:szCs w:val="18"/>
                              </w:rPr>
                              <m:t>m</m:t>
                            </m:r>
                          </m:e>
                        </m:acc>
                      </m:e>
                      <m:sub>
                        <m:r>
                          <w:rPr>
                            <w:rFonts w:ascii="Cambria Math" w:eastAsiaTheme="minorEastAsia" w:hAnsi="Cambria Math" w:cs="Arial"/>
                            <w:szCs w:val="18"/>
                          </w:rPr>
                          <m:t>RDF</m:t>
                        </m:r>
                      </m:sub>
                    </m:sSub>
                  </m:den>
                </m:f>
              </m:e>
            </m:d>
            <m:r>
              <w:rPr>
                <w:rFonts w:ascii="Cambria Math" w:eastAsiaTheme="minorEastAsia" w:hAnsi="Cambria Math" w:cs="Arial"/>
                <w:szCs w:val="18"/>
              </w:rPr>
              <m:t xml:space="preserve">      </m:t>
            </m:r>
          </m:num>
          <m:den>
            <m:sSub>
              <m:sSubPr>
                <m:ctrlPr>
                  <w:rPr>
                    <w:rFonts w:ascii="Cambria Math" w:eastAsiaTheme="minorEastAsia" w:hAnsi="Cambria Math" w:cs="Arial"/>
                    <w:i/>
                    <w:szCs w:val="18"/>
                  </w:rPr>
                </m:ctrlPr>
              </m:sSubPr>
              <m:e>
                <m:r>
                  <w:rPr>
                    <w:rFonts w:ascii="Cambria Math" w:eastAsiaTheme="minorEastAsia" w:hAnsi="Cambria Math" w:cs="Arial"/>
                    <w:szCs w:val="18"/>
                  </w:rPr>
                  <m:t xml:space="preserve">  </m:t>
                </m:r>
                <m:d>
                  <m:dPr>
                    <m:ctrlPr>
                      <w:rPr>
                        <w:rFonts w:ascii="Cambria Math" w:eastAsiaTheme="minorEastAsia" w:hAnsi="Cambria Math" w:cs="Arial"/>
                        <w:i/>
                        <w:szCs w:val="18"/>
                      </w:rPr>
                    </m:ctrlPr>
                  </m:dPr>
                  <m:e>
                    <m:f>
                      <m:fPr>
                        <m:ctrlPr>
                          <w:rPr>
                            <w:rFonts w:ascii="Cambria Math" w:eastAsiaTheme="minorEastAsia" w:hAnsi="Cambria Math" w:cs="Arial"/>
                            <w:i/>
                            <w:szCs w:val="18"/>
                          </w:rPr>
                        </m:ctrlPr>
                      </m:fPr>
                      <m:num>
                        <m:sSub>
                          <m:sSubPr>
                            <m:ctrlPr>
                              <w:rPr>
                                <w:rFonts w:ascii="Cambria Math" w:eastAsiaTheme="minorEastAsia" w:hAnsi="Cambria Math" w:cs="Arial"/>
                                <w:i/>
                                <w:szCs w:val="18"/>
                              </w:rPr>
                            </m:ctrlPr>
                          </m:sSubPr>
                          <m:e>
                            <m:acc>
                              <m:accPr>
                                <m:chr m:val="̇"/>
                                <m:ctrlPr>
                                  <w:rPr>
                                    <w:rFonts w:ascii="Cambria Math" w:eastAsiaTheme="minorEastAsia" w:hAnsi="Cambria Math" w:cs="Arial"/>
                                    <w:i/>
                                    <w:szCs w:val="18"/>
                                  </w:rPr>
                                </m:ctrlPr>
                              </m:accPr>
                              <m:e>
                                <m:r>
                                  <w:rPr>
                                    <w:rFonts w:ascii="Cambria Math" w:eastAsiaTheme="minorEastAsia" w:hAnsi="Cambria Math" w:cs="Arial"/>
                                    <w:szCs w:val="18"/>
                                  </w:rPr>
                                  <m:t>m</m:t>
                                </m:r>
                              </m:e>
                            </m:acc>
                          </m:e>
                          <m:sub>
                            <m:r>
                              <w:rPr>
                                <w:rFonts w:ascii="Cambria Math" w:eastAsiaTheme="minorEastAsia" w:hAnsi="Cambria Math" w:cs="Arial"/>
                                <w:szCs w:val="18"/>
                              </w:rPr>
                              <m:t>a</m:t>
                            </m:r>
                          </m:sub>
                        </m:sSub>
                      </m:num>
                      <m:den>
                        <m:sSub>
                          <m:sSubPr>
                            <m:ctrlPr>
                              <w:rPr>
                                <w:rFonts w:ascii="Cambria Math" w:eastAsiaTheme="minorEastAsia" w:hAnsi="Cambria Math" w:cs="Arial"/>
                                <w:i/>
                                <w:szCs w:val="18"/>
                              </w:rPr>
                            </m:ctrlPr>
                          </m:sSubPr>
                          <m:e>
                            <m:acc>
                              <m:accPr>
                                <m:chr m:val="̇"/>
                                <m:ctrlPr>
                                  <w:rPr>
                                    <w:rFonts w:ascii="Cambria Math" w:eastAsiaTheme="minorEastAsia" w:hAnsi="Cambria Math" w:cs="Arial"/>
                                    <w:i/>
                                    <w:szCs w:val="18"/>
                                  </w:rPr>
                                </m:ctrlPr>
                              </m:accPr>
                              <m:e>
                                <m:r>
                                  <w:rPr>
                                    <w:rFonts w:ascii="Cambria Math" w:eastAsiaTheme="minorEastAsia" w:hAnsi="Cambria Math" w:cs="Arial"/>
                                    <w:szCs w:val="18"/>
                                  </w:rPr>
                                  <m:t>m</m:t>
                                </m:r>
                              </m:e>
                            </m:acc>
                          </m:e>
                          <m:sub>
                            <m:r>
                              <w:rPr>
                                <w:rFonts w:ascii="Cambria Math" w:eastAsiaTheme="minorEastAsia" w:hAnsi="Cambria Math" w:cs="Arial"/>
                                <w:szCs w:val="18"/>
                              </w:rPr>
                              <m:t>RDF</m:t>
                            </m:r>
                          </m:sub>
                        </m:sSub>
                      </m:den>
                    </m:f>
                  </m:e>
                </m:d>
              </m:e>
              <m:sub>
                <m:r>
                  <w:rPr>
                    <w:rFonts w:ascii="Cambria Math" w:eastAsiaTheme="minorEastAsia" w:hAnsi="Cambria Math" w:cs="Arial"/>
                    <w:szCs w:val="18"/>
                  </w:rPr>
                  <m:t>stoic</m:t>
                </m:r>
              </m:sub>
            </m:sSub>
          </m:den>
        </m:f>
      </m:oMath>
      <w:r w:rsidRPr="006A72AA">
        <w:rPr>
          <w:rFonts w:eastAsiaTheme="minorEastAsia" w:cs="Arial"/>
          <w:szCs w:val="18"/>
        </w:rPr>
        <w:t xml:space="preserve">                 </w:t>
      </w:r>
      <w:r w:rsidR="006A72AA">
        <w:rPr>
          <w:rFonts w:eastAsiaTheme="minorEastAsia" w:cs="Arial"/>
          <w:szCs w:val="18"/>
          <w:lang w:val="en-US"/>
        </w:rPr>
        <w:t xml:space="preserve">                                                                                                                                </w:t>
      </w:r>
      <w:r w:rsidRPr="006A72AA">
        <w:rPr>
          <w:rFonts w:eastAsiaTheme="minorEastAsia" w:cs="Arial"/>
          <w:szCs w:val="18"/>
        </w:rPr>
        <w:t xml:space="preserve"> (3)</w:t>
      </w:r>
    </w:p>
    <w:p w14:paraId="37C8BA30" w14:textId="77777777" w:rsidR="00EE7D8B" w:rsidRDefault="00EE7D8B" w:rsidP="00D65EFA"/>
    <w:p w14:paraId="2A9B9F00" w14:textId="77777777" w:rsidR="00EE7D8B" w:rsidRDefault="00EE7D8B" w:rsidP="00EE7D8B">
      <w:pPr>
        <w:ind w:firstLine="360"/>
        <w:rPr>
          <w:rFonts w:cs="Arial"/>
          <w:szCs w:val="18"/>
        </w:rPr>
      </w:pPr>
      <w:r w:rsidRPr="004D3F78">
        <w:t>Table 1: Proximate and ultimate analysis (dry basis, %)</w:t>
      </w:r>
      <w:r w:rsidR="00970425" w:rsidRPr="004D3F78">
        <w:t xml:space="preserve"> of RDF.</w:t>
      </w:r>
    </w:p>
    <w:p w14:paraId="2F2F9B7E" w14:textId="77777777" w:rsidR="00EE7D8B" w:rsidRPr="00EE7D8B" w:rsidRDefault="00EE7D8B" w:rsidP="00EE7D8B">
      <w:pPr>
        <w:ind w:firstLine="360"/>
        <w:rPr>
          <w:rFonts w:cs="Arial"/>
          <w:szCs w:val="18"/>
        </w:rPr>
      </w:pP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61"/>
        <w:gridCol w:w="1691"/>
        <w:gridCol w:w="1811"/>
        <w:gridCol w:w="1134"/>
      </w:tblGrid>
      <w:tr w:rsidR="00EE7D8B" w:rsidRPr="00B57B36" w14:paraId="1D95177A" w14:textId="77777777" w:rsidTr="00EE5823">
        <w:tc>
          <w:tcPr>
            <w:tcW w:w="1961" w:type="dxa"/>
            <w:tcBorders>
              <w:top w:val="single" w:sz="12" w:space="0" w:color="008000"/>
              <w:bottom w:val="single" w:sz="6" w:space="0" w:color="008000"/>
            </w:tcBorders>
            <w:shd w:val="clear" w:color="auto" w:fill="FFFFFF"/>
          </w:tcPr>
          <w:p w14:paraId="506CF81B" w14:textId="77777777" w:rsidR="00EE7D8B" w:rsidRPr="00B57B36" w:rsidRDefault="00EE7D8B" w:rsidP="00EE7D8B">
            <w:pPr>
              <w:pStyle w:val="CETBodytext"/>
              <w:jc w:val="center"/>
              <w:rPr>
                <w:lang w:val="en-GB"/>
              </w:rPr>
            </w:pPr>
            <w:r>
              <w:rPr>
                <w:lang w:val="en-GB"/>
              </w:rPr>
              <w:t>Parameter</w:t>
            </w:r>
          </w:p>
        </w:tc>
        <w:tc>
          <w:tcPr>
            <w:tcW w:w="1691" w:type="dxa"/>
            <w:tcBorders>
              <w:top w:val="single" w:sz="12" w:space="0" w:color="008000"/>
              <w:bottom w:val="single" w:sz="6" w:space="0" w:color="008000"/>
            </w:tcBorders>
            <w:shd w:val="clear" w:color="auto" w:fill="FFFFFF"/>
          </w:tcPr>
          <w:p w14:paraId="7F76FAA6" w14:textId="77777777" w:rsidR="00EE7D8B" w:rsidRPr="00B57B36" w:rsidRDefault="00EE7D8B" w:rsidP="00EE7D8B">
            <w:pPr>
              <w:pStyle w:val="CETBodytext"/>
              <w:jc w:val="center"/>
              <w:rPr>
                <w:lang w:val="en-GB"/>
              </w:rPr>
            </w:pPr>
            <w:r>
              <w:rPr>
                <w:lang w:val="en-GB"/>
              </w:rPr>
              <w:t>Násner et al. (2017)</w:t>
            </w:r>
          </w:p>
        </w:tc>
        <w:tc>
          <w:tcPr>
            <w:tcW w:w="1811" w:type="dxa"/>
            <w:tcBorders>
              <w:top w:val="single" w:sz="12" w:space="0" w:color="008000"/>
              <w:bottom w:val="single" w:sz="6" w:space="0" w:color="008000"/>
            </w:tcBorders>
            <w:shd w:val="clear" w:color="auto" w:fill="FFFFFF"/>
          </w:tcPr>
          <w:p w14:paraId="127AA027" w14:textId="77777777" w:rsidR="00EE7D8B" w:rsidRPr="00B57B36" w:rsidRDefault="00EE7D8B" w:rsidP="00EE7D8B">
            <w:pPr>
              <w:pStyle w:val="CETBodytext"/>
              <w:jc w:val="center"/>
              <w:rPr>
                <w:lang w:val="en-GB"/>
              </w:rPr>
            </w:pPr>
            <w:r>
              <w:rPr>
                <w:lang w:val="en-GB"/>
              </w:rPr>
              <w:t>Marques et al. (2021)</w:t>
            </w:r>
          </w:p>
        </w:tc>
        <w:tc>
          <w:tcPr>
            <w:tcW w:w="1134" w:type="dxa"/>
            <w:tcBorders>
              <w:top w:val="single" w:sz="12" w:space="0" w:color="008000"/>
              <w:bottom w:val="single" w:sz="6" w:space="0" w:color="008000"/>
            </w:tcBorders>
            <w:shd w:val="clear" w:color="auto" w:fill="FFFFFF"/>
          </w:tcPr>
          <w:p w14:paraId="055EB6BD" w14:textId="77777777" w:rsidR="00EE7D8B" w:rsidRPr="00B57B36" w:rsidRDefault="00EE7D8B" w:rsidP="00EE7D8B">
            <w:pPr>
              <w:pStyle w:val="CETBodytext"/>
              <w:ind w:right="-1"/>
              <w:jc w:val="center"/>
              <w:rPr>
                <w:rFonts w:cs="Arial"/>
                <w:szCs w:val="18"/>
                <w:lang w:val="en-GB"/>
              </w:rPr>
            </w:pPr>
            <w:r>
              <w:rPr>
                <w:rFonts w:cs="Arial"/>
                <w:szCs w:val="18"/>
                <w:lang w:val="en-GB"/>
              </w:rPr>
              <w:t>This work</w:t>
            </w:r>
          </w:p>
        </w:tc>
      </w:tr>
      <w:tr w:rsidR="00EE7D8B" w:rsidRPr="00B57B36" w14:paraId="6E3FF237" w14:textId="77777777" w:rsidTr="00EE5823">
        <w:tc>
          <w:tcPr>
            <w:tcW w:w="1961" w:type="dxa"/>
            <w:shd w:val="clear" w:color="auto" w:fill="FFFFFF"/>
          </w:tcPr>
          <w:p w14:paraId="7BB25A3D" w14:textId="77777777" w:rsidR="00EE7D8B" w:rsidRPr="00EE7D8B" w:rsidRDefault="00EE7D8B" w:rsidP="00EE7D8B">
            <w:pPr>
              <w:pStyle w:val="CETBodytext"/>
              <w:jc w:val="center"/>
              <w:rPr>
                <w:i/>
                <w:iCs/>
                <w:lang w:val="en-GB"/>
              </w:rPr>
            </w:pPr>
            <w:r w:rsidRPr="00EE7D8B">
              <w:rPr>
                <w:i/>
                <w:iCs/>
                <w:lang w:val="en-GB"/>
              </w:rPr>
              <w:t>Proximate Analysis (%)</w:t>
            </w:r>
          </w:p>
        </w:tc>
        <w:tc>
          <w:tcPr>
            <w:tcW w:w="1691" w:type="dxa"/>
            <w:shd w:val="clear" w:color="auto" w:fill="FFFFFF"/>
          </w:tcPr>
          <w:p w14:paraId="043CDBD6" w14:textId="77777777" w:rsidR="00EE7D8B" w:rsidRPr="00B57B36" w:rsidRDefault="00EE7D8B" w:rsidP="00EE7D8B">
            <w:pPr>
              <w:pStyle w:val="CETBodytext"/>
              <w:jc w:val="center"/>
              <w:rPr>
                <w:lang w:val="en-GB"/>
              </w:rPr>
            </w:pPr>
          </w:p>
        </w:tc>
        <w:tc>
          <w:tcPr>
            <w:tcW w:w="1811" w:type="dxa"/>
            <w:shd w:val="clear" w:color="auto" w:fill="FFFFFF"/>
          </w:tcPr>
          <w:p w14:paraId="2DCA5605" w14:textId="77777777" w:rsidR="00EE7D8B" w:rsidRPr="00B57B36" w:rsidRDefault="00EE7D8B" w:rsidP="00EE7D8B">
            <w:pPr>
              <w:pStyle w:val="CETBodytext"/>
              <w:jc w:val="center"/>
              <w:rPr>
                <w:lang w:val="en-GB"/>
              </w:rPr>
            </w:pPr>
          </w:p>
        </w:tc>
        <w:tc>
          <w:tcPr>
            <w:tcW w:w="1134" w:type="dxa"/>
            <w:shd w:val="clear" w:color="auto" w:fill="FFFFFF"/>
          </w:tcPr>
          <w:p w14:paraId="4652B6E9" w14:textId="77777777" w:rsidR="00EE7D8B" w:rsidRPr="00B57B36" w:rsidRDefault="00EE7D8B" w:rsidP="00EE7D8B">
            <w:pPr>
              <w:pStyle w:val="CETBodytext"/>
              <w:ind w:right="-1"/>
              <w:jc w:val="center"/>
              <w:rPr>
                <w:rFonts w:cs="Arial"/>
                <w:szCs w:val="18"/>
                <w:lang w:val="en-GB"/>
              </w:rPr>
            </w:pPr>
          </w:p>
        </w:tc>
      </w:tr>
      <w:tr w:rsidR="00EE7D8B" w:rsidRPr="00B57B36" w14:paraId="290453E6" w14:textId="77777777" w:rsidTr="00EE5823">
        <w:tc>
          <w:tcPr>
            <w:tcW w:w="1961" w:type="dxa"/>
            <w:shd w:val="clear" w:color="auto" w:fill="FFFFFF"/>
          </w:tcPr>
          <w:p w14:paraId="263C2590" w14:textId="77777777" w:rsidR="00EE7D8B" w:rsidRPr="00B57B36" w:rsidRDefault="00EE7D8B" w:rsidP="00EE7D8B">
            <w:pPr>
              <w:pStyle w:val="CETBodytext"/>
              <w:ind w:right="-1"/>
              <w:jc w:val="center"/>
              <w:rPr>
                <w:rFonts w:cs="Arial"/>
                <w:szCs w:val="18"/>
                <w:lang w:val="en-GB"/>
              </w:rPr>
            </w:pPr>
            <w:r>
              <w:rPr>
                <w:rFonts w:cs="Arial"/>
                <w:szCs w:val="18"/>
                <w:lang w:val="en-GB"/>
              </w:rPr>
              <w:t>Fixed Carbon</w:t>
            </w:r>
          </w:p>
        </w:tc>
        <w:tc>
          <w:tcPr>
            <w:tcW w:w="1691" w:type="dxa"/>
            <w:shd w:val="clear" w:color="auto" w:fill="FFFFFF"/>
          </w:tcPr>
          <w:p w14:paraId="6C79C945" w14:textId="77777777" w:rsidR="00EE7D8B" w:rsidRPr="00EE7D8B" w:rsidRDefault="00EE7D8B" w:rsidP="00EE7D8B">
            <w:pPr>
              <w:pStyle w:val="CETBodytext"/>
              <w:ind w:right="-1"/>
              <w:jc w:val="center"/>
              <w:rPr>
                <w:rFonts w:cs="Arial"/>
                <w:szCs w:val="18"/>
                <w:lang w:val="en-GB"/>
              </w:rPr>
            </w:pPr>
            <w:r w:rsidRPr="00EE7D8B">
              <w:rPr>
                <w:szCs w:val="18"/>
              </w:rPr>
              <w:t>26.30</w:t>
            </w:r>
          </w:p>
        </w:tc>
        <w:tc>
          <w:tcPr>
            <w:tcW w:w="1811" w:type="dxa"/>
            <w:shd w:val="clear" w:color="auto" w:fill="FFFFFF"/>
          </w:tcPr>
          <w:p w14:paraId="172B529B" w14:textId="77777777" w:rsidR="00EE7D8B" w:rsidRPr="00EE7D8B" w:rsidRDefault="00EE7D8B" w:rsidP="00EE7D8B">
            <w:pPr>
              <w:pStyle w:val="CETBodytext"/>
              <w:ind w:right="-1"/>
              <w:jc w:val="center"/>
              <w:rPr>
                <w:rFonts w:cs="Arial"/>
                <w:szCs w:val="18"/>
                <w:lang w:val="en-GB"/>
              </w:rPr>
            </w:pPr>
            <w:r w:rsidRPr="00EE7D8B">
              <w:rPr>
                <w:szCs w:val="18"/>
              </w:rPr>
              <w:t>16.70</w:t>
            </w:r>
          </w:p>
        </w:tc>
        <w:tc>
          <w:tcPr>
            <w:tcW w:w="1134" w:type="dxa"/>
            <w:shd w:val="clear" w:color="auto" w:fill="FFFFFF"/>
          </w:tcPr>
          <w:p w14:paraId="740CC591" w14:textId="77777777" w:rsidR="00EE7D8B" w:rsidRPr="00EE7D8B" w:rsidRDefault="00EE7D8B" w:rsidP="00EE7D8B">
            <w:pPr>
              <w:pStyle w:val="CETBodytext"/>
              <w:ind w:right="-1"/>
              <w:jc w:val="center"/>
              <w:rPr>
                <w:rFonts w:cs="Arial"/>
                <w:szCs w:val="18"/>
                <w:lang w:val="en-GB"/>
              </w:rPr>
            </w:pPr>
            <w:r w:rsidRPr="00EE7D8B">
              <w:rPr>
                <w:szCs w:val="18"/>
              </w:rPr>
              <w:t>26.30</w:t>
            </w:r>
          </w:p>
        </w:tc>
      </w:tr>
      <w:tr w:rsidR="00EE7D8B" w:rsidRPr="00B57B36" w14:paraId="01FD1609" w14:textId="77777777" w:rsidTr="00EE5823">
        <w:tc>
          <w:tcPr>
            <w:tcW w:w="1961" w:type="dxa"/>
            <w:shd w:val="clear" w:color="auto" w:fill="FFFFFF"/>
          </w:tcPr>
          <w:p w14:paraId="26135AB9" w14:textId="77777777" w:rsidR="00EE7D8B" w:rsidRDefault="00EE7D8B" w:rsidP="00EE7D8B">
            <w:pPr>
              <w:pStyle w:val="CETBodytext"/>
              <w:ind w:right="-1"/>
              <w:jc w:val="center"/>
              <w:rPr>
                <w:rFonts w:cs="Arial"/>
                <w:szCs w:val="18"/>
                <w:lang w:val="en-GB"/>
              </w:rPr>
            </w:pPr>
            <w:r>
              <w:rPr>
                <w:rFonts w:cs="Arial"/>
                <w:szCs w:val="18"/>
                <w:lang w:val="en-GB"/>
              </w:rPr>
              <w:t>Volatiles</w:t>
            </w:r>
          </w:p>
        </w:tc>
        <w:tc>
          <w:tcPr>
            <w:tcW w:w="1691" w:type="dxa"/>
            <w:shd w:val="clear" w:color="auto" w:fill="FFFFFF"/>
          </w:tcPr>
          <w:p w14:paraId="4F8C3F93" w14:textId="77777777" w:rsidR="00EE7D8B" w:rsidRPr="00EE7D8B" w:rsidRDefault="00EE7D8B" w:rsidP="00EE7D8B">
            <w:pPr>
              <w:pStyle w:val="CETBodytext"/>
              <w:ind w:right="-1"/>
              <w:jc w:val="center"/>
              <w:rPr>
                <w:rFonts w:cs="Arial"/>
                <w:szCs w:val="18"/>
                <w:lang w:val="en-GB"/>
              </w:rPr>
            </w:pPr>
            <w:r w:rsidRPr="00EE7D8B">
              <w:rPr>
                <w:szCs w:val="18"/>
              </w:rPr>
              <w:t>67.60</w:t>
            </w:r>
          </w:p>
        </w:tc>
        <w:tc>
          <w:tcPr>
            <w:tcW w:w="1811" w:type="dxa"/>
            <w:shd w:val="clear" w:color="auto" w:fill="FFFFFF"/>
          </w:tcPr>
          <w:p w14:paraId="526FD879" w14:textId="77777777" w:rsidR="00EE7D8B" w:rsidRPr="00EE7D8B" w:rsidRDefault="00EE7D8B" w:rsidP="00EE7D8B">
            <w:pPr>
              <w:pStyle w:val="CETBodytext"/>
              <w:ind w:right="-1"/>
              <w:jc w:val="center"/>
              <w:rPr>
                <w:rFonts w:cs="Arial"/>
                <w:szCs w:val="18"/>
                <w:lang w:val="en-GB"/>
              </w:rPr>
            </w:pPr>
            <w:r w:rsidRPr="00EE7D8B">
              <w:rPr>
                <w:szCs w:val="18"/>
              </w:rPr>
              <w:t>72.58</w:t>
            </w:r>
          </w:p>
        </w:tc>
        <w:tc>
          <w:tcPr>
            <w:tcW w:w="1134" w:type="dxa"/>
            <w:shd w:val="clear" w:color="auto" w:fill="FFFFFF"/>
          </w:tcPr>
          <w:p w14:paraId="27D06D47" w14:textId="77777777" w:rsidR="00EE7D8B" w:rsidRPr="00EE7D8B" w:rsidRDefault="00EE7D8B" w:rsidP="00EE7D8B">
            <w:pPr>
              <w:pStyle w:val="CETBodytext"/>
              <w:ind w:right="-1"/>
              <w:jc w:val="center"/>
              <w:rPr>
                <w:rFonts w:cs="Arial"/>
                <w:szCs w:val="18"/>
                <w:lang w:val="en-GB"/>
              </w:rPr>
            </w:pPr>
            <w:r w:rsidRPr="00EE7D8B">
              <w:rPr>
                <w:szCs w:val="18"/>
              </w:rPr>
              <w:t>70.09</w:t>
            </w:r>
          </w:p>
        </w:tc>
      </w:tr>
      <w:tr w:rsidR="00EE7D8B" w:rsidRPr="00B57B36" w14:paraId="10A3C62B" w14:textId="77777777" w:rsidTr="00EE5823">
        <w:tc>
          <w:tcPr>
            <w:tcW w:w="1961" w:type="dxa"/>
            <w:shd w:val="clear" w:color="auto" w:fill="FFFFFF"/>
          </w:tcPr>
          <w:p w14:paraId="6543178E" w14:textId="77777777" w:rsidR="00EE7D8B" w:rsidRDefault="00EE7D8B" w:rsidP="00EE7D8B">
            <w:pPr>
              <w:pStyle w:val="CETBodytext"/>
              <w:ind w:right="-1"/>
              <w:jc w:val="center"/>
              <w:rPr>
                <w:rFonts w:cs="Arial"/>
                <w:szCs w:val="18"/>
                <w:lang w:val="en-GB"/>
              </w:rPr>
            </w:pPr>
            <w:r>
              <w:rPr>
                <w:rFonts w:cs="Arial"/>
                <w:szCs w:val="18"/>
                <w:lang w:val="en-GB"/>
              </w:rPr>
              <w:t>Moisture</w:t>
            </w:r>
          </w:p>
        </w:tc>
        <w:tc>
          <w:tcPr>
            <w:tcW w:w="1691" w:type="dxa"/>
            <w:shd w:val="clear" w:color="auto" w:fill="FFFFFF"/>
          </w:tcPr>
          <w:p w14:paraId="59EB9CF2" w14:textId="77777777" w:rsidR="00EE7D8B" w:rsidRPr="00EE7D8B" w:rsidRDefault="00EE7D8B" w:rsidP="00EE7D8B">
            <w:pPr>
              <w:pStyle w:val="CETBodytext"/>
              <w:ind w:right="-1"/>
              <w:jc w:val="center"/>
              <w:rPr>
                <w:rFonts w:cs="Arial"/>
                <w:szCs w:val="18"/>
                <w:lang w:val="en-GB"/>
              </w:rPr>
            </w:pPr>
            <w:r w:rsidRPr="00EE7D8B">
              <w:rPr>
                <w:szCs w:val="18"/>
              </w:rPr>
              <w:t>12.00</w:t>
            </w:r>
          </w:p>
        </w:tc>
        <w:tc>
          <w:tcPr>
            <w:tcW w:w="1811" w:type="dxa"/>
            <w:shd w:val="clear" w:color="auto" w:fill="FFFFFF"/>
          </w:tcPr>
          <w:p w14:paraId="3EF0D225" w14:textId="77777777" w:rsidR="00EE7D8B" w:rsidRPr="00EE7D8B" w:rsidRDefault="00EE7D8B" w:rsidP="00EE7D8B">
            <w:pPr>
              <w:pStyle w:val="CETBodytext"/>
              <w:ind w:right="-1"/>
              <w:jc w:val="center"/>
              <w:rPr>
                <w:rFonts w:cs="Arial"/>
                <w:szCs w:val="18"/>
                <w:lang w:val="en-GB"/>
              </w:rPr>
            </w:pPr>
            <w:r w:rsidRPr="00EE7D8B">
              <w:rPr>
                <w:szCs w:val="18"/>
              </w:rPr>
              <w:t>8.29</w:t>
            </w:r>
          </w:p>
        </w:tc>
        <w:tc>
          <w:tcPr>
            <w:tcW w:w="1134" w:type="dxa"/>
            <w:shd w:val="clear" w:color="auto" w:fill="FFFFFF"/>
          </w:tcPr>
          <w:p w14:paraId="37BAB44D" w14:textId="77777777" w:rsidR="00EE7D8B" w:rsidRPr="00EE7D8B" w:rsidRDefault="00EE7D8B" w:rsidP="00EE7D8B">
            <w:pPr>
              <w:pStyle w:val="CETBodytext"/>
              <w:ind w:right="-1"/>
              <w:jc w:val="center"/>
              <w:rPr>
                <w:rFonts w:cs="Arial"/>
                <w:szCs w:val="18"/>
                <w:lang w:val="en-GB"/>
              </w:rPr>
            </w:pPr>
            <w:r w:rsidRPr="00EE7D8B">
              <w:rPr>
                <w:szCs w:val="18"/>
              </w:rPr>
              <w:t>10.15</w:t>
            </w:r>
          </w:p>
        </w:tc>
      </w:tr>
      <w:tr w:rsidR="00EE7D8B" w:rsidRPr="00B57B36" w14:paraId="60983A63" w14:textId="77777777" w:rsidTr="00EE5823">
        <w:tc>
          <w:tcPr>
            <w:tcW w:w="1961" w:type="dxa"/>
            <w:shd w:val="clear" w:color="auto" w:fill="FFFFFF"/>
          </w:tcPr>
          <w:p w14:paraId="75F60B14" w14:textId="77777777" w:rsidR="00EE7D8B" w:rsidRDefault="00EE7D8B" w:rsidP="00EE7D8B">
            <w:pPr>
              <w:pStyle w:val="CETBodytext"/>
              <w:ind w:right="-1"/>
              <w:jc w:val="center"/>
              <w:rPr>
                <w:rFonts w:cs="Arial"/>
                <w:szCs w:val="18"/>
                <w:lang w:val="en-GB"/>
              </w:rPr>
            </w:pPr>
            <w:r>
              <w:rPr>
                <w:rFonts w:cs="Arial"/>
                <w:szCs w:val="18"/>
                <w:lang w:val="en-GB"/>
              </w:rPr>
              <w:t>Ashes</w:t>
            </w:r>
          </w:p>
        </w:tc>
        <w:tc>
          <w:tcPr>
            <w:tcW w:w="1691" w:type="dxa"/>
            <w:shd w:val="clear" w:color="auto" w:fill="FFFFFF"/>
          </w:tcPr>
          <w:p w14:paraId="7B13E597" w14:textId="77777777" w:rsidR="00EE7D8B" w:rsidRPr="00EE7D8B" w:rsidRDefault="00EE7D8B" w:rsidP="00EE7D8B">
            <w:pPr>
              <w:pStyle w:val="CETBodytext"/>
              <w:ind w:right="-1"/>
              <w:jc w:val="center"/>
              <w:rPr>
                <w:szCs w:val="18"/>
              </w:rPr>
            </w:pPr>
            <w:r w:rsidRPr="00EE7D8B">
              <w:rPr>
                <w:szCs w:val="18"/>
              </w:rPr>
              <w:t>6.00</w:t>
            </w:r>
          </w:p>
        </w:tc>
        <w:tc>
          <w:tcPr>
            <w:tcW w:w="1811" w:type="dxa"/>
            <w:shd w:val="clear" w:color="auto" w:fill="FFFFFF"/>
          </w:tcPr>
          <w:p w14:paraId="455BBE47" w14:textId="77777777" w:rsidR="00EE7D8B" w:rsidRPr="00EE7D8B" w:rsidRDefault="00EE7D8B" w:rsidP="00EE7D8B">
            <w:pPr>
              <w:pStyle w:val="CETBodytext"/>
              <w:ind w:right="-1"/>
              <w:jc w:val="center"/>
              <w:rPr>
                <w:szCs w:val="18"/>
              </w:rPr>
            </w:pPr>
            <w:r w:rsidRPr="00EE7D8B">
              <w:rPr>
                <w:szCs w:val="18"/>
              </w:rPr>
              <w:t>2.43</w:t>
            </w:r>
          </w:p>
        </w:tc>
        <w:tc>
          <w:tcPr>
            <w:tcW w:w="1134" w:type="dxa"/>
            <w:shd w:val="clear" w:color="auto" w:fill="FFFFFF"/>
          </w:tcPr>
          <w:p w14:paraId="6B9F7D56" w14:textId="77777777" w:rsidR="00EE7D8B" w:rsidRPr="00EE7D8B" w:rsidRDefault="00EE7D8B" w:rsidP="00EE7D8B">
            <w:pPr>
              <w:pStyle w:val="CETBodytext"/>
              <w:ind w:right="-1"/>
              <w:jc w:val="center"/>
              <w:rPr>
                <w:szCs w:val="18"/>
              </w:rPr>
            </w:pPr>
            <w:r w:rsidRPr="00EE7D8B">
              <w:rPr>
                <w:szCs w:val="18"/>
              </w:rPr>
              <w:t>3.61</w:t>
            </w:r>
          </w:p>
        </w:tc>
      </w:tr>
      <w:tr w:rsidR="00EE7D8B" w:rsidRPr="00B57B36" w14:paraId="6EF724D4" w14:textId="77777777" w:rsidTr="00EE5823">
        <w:tc>
          <w:tcPr>
            <w:tcW w:w="1961" w:type="dxa"/>
            <w:shd w:val="clear" w:color="auto" w:fill="FFFFFF"/>
          </w:tcPr>
          <w:p w14:paraId="4B04C267" w14:textId="77777777" w:rsidR="00EE7D8B" w:rsidRPr="00EE7D8B" w:rsidRDefault="00EE7D8B" w:rsidP="00EE7D8B">
            <w:pPr>
              <w:pStyle w:val="CETBodytext"/>
              <w:ind w:right="-1"/>
              <w:jc w:val="center"/>
              <w:rPr>
                <w:rFonts w:cs="Arial"/>
                <w:i/>
                <w:iCs/>
                <w:szCs w:val="18"/>
                <w:lang w:val="en-GB"/>
              </w:rPr>
            </w:pPr>
            <w:r w:rsidRPr="00EE7D8B">
              <w:rPr>
                <w:rFonts w:cs="Arial"/>
                <w:i/>
                <w:iCs/>
                <w:szCs w:val="18"/>
                <w:lang w:val="en-GB"/>
              </w:rPr>
              <w:t>Ultimate Analysis (%)</w:t>
            </w:r>
          </w:p>
        </w:tc>
        <w:tc>
          <w:tcPr>
            <w:tcW w:w="1691" w:type="dxa"/>
            <w:shd w:val="clear" w:color="auto" w:fill="FFFFFF"/>
          </w:tcPr>
          <w:p w14:paraId="10A2CC7A" w14:textId="77777777" w:rsidR="00EE7D8B" w:rsidRPr="00EE7D8B" w:rsidRDefault="00EE7D8B" w:rsidP="00EE7D8B">
            <w:pPr>
              <w:pStyle w:val="CETBodytext"/>
              <w:ind w:right="-1"/>
              <w:jc w:val="center"/>
              <w:rPr>
                <w:rFonts w:cs="Arial"/>
                <w:szCs w:val="18"/>
                <w:lang w:val="en-GB"/>
              </w:rPr>
            </w:pPr>
          </w:p>
        </w:tc>
        <w:tc>
          <w:tcPr>
            <w:tcW w:w="1811" w:type="dxa"/>
            <w:shd w:val="clear" w:color="auto" w:fill="FFFFFF"/>
          </w:tcPr>
          <w:p w14:paraId="508B1CBE" w14:textId="77777777" w:rsidR="00EE7D8B" w:rsidRPr="00EE7D8B" w:rsidRDefault="00EE7D8B" w:rsidP="00EE7D8B">
            <w:pPr>
              <w:pStyle w:val="CETBodytext"/>
              <w:ind w:right="-1"/>
              <w:jc w:val="center"/>
              <w:rPr>
                <w:rFonts w:cs="Arial"/>
                <w:szCs w:val="18"/>
                <w:lang w:val="en-GB"/>
              </w:rPr>
            </w:pPr>
          </w:p>
        </w:tc>
        <w:tc>
          <w:tcPr>
            <w:tcW w:w="1134" w:type="dxa"/>
            <w:shd w:val="clear" w:color="auto" w:fill="FFFFFF"/>
          </w:tcPr>
          <w:p w14:paraId="03DA7640" w14:textId="77777777" w:rsidR="00EE7D8B" w:rsidRPr="00EE7D8B" w:rsidRDefault="00EE7D8B" w:rsidP="00EE7D8B">
            <w:pPr>
              <w:pStyle w:val="CETBodytext"/>
              <w:ind w:right="-1"/>
              <w:jc w:val="center"/>
              <w:rPr>
                <w:rFonts w:cs="Arial"/>
                <w:szCs w:val="18"/>
                <w:lang w:val="en-GB"/>
              </w:rPr>
            </w:pPr>
          </w:p>
        </w:tc>
      </w:tr>
      <w:tr w:rsidR="00EE7D8B" w:rsidRPr="00B57B36" w14:paraId="54544A78" w14:textId="77777777" w:rsidTr="00EE5823">
        <w:tc>
          <w:tcPr>
            <w:tcW w:w="1961" w:type="dxa"/>
            <w:shd w:val="clear" w:color="auto" w:fill="FFFFFF"/>
          </w:tcPr>
          <w:p w14:paraId="1A4CBFF8" w14:textId="77777777" w:rsidR="00EE7D8B" w:rsidRDefault="00EE7D8B" w:rsidP="00EE7D8B">
            <w:pPr>
              <w:pStyle w:val="CETBodytext"/>
              <w:ind w:right="-1"/>
              <w:jc w:val="center"/>
              <w:rPr>
                <w:rFonts w:cs="Arial"/>
                <w:szCs w:val="18"/>
                <w:lang w:val="en-GB"/>
              </w:rPr>
            </w:pPr>
            <w:r>
              <w:rPr>
                <w:rFonts w:cs="Arial"/>
                <w:szCs w:val="18"/>
                <w:lang w:val="en-GB"/>
              </w:rPr>
              <w:t>Carbon</w:t>
            </w:r>
          </w:p>
        </w:tc>
        <w:tc>
          <w:tcPr>
            <w:tcW w:w="1691" w:type="dxa"/>
            <w:shd w:val="clear" w:color="auto" w:fill="FFFFFF"/>
          </w:tcPr>
          <w:p w14:paraId="0D6D56C0" w14:textId="77777777" w:rsidR="00EE7D8B" w:rsidRPr="00EE7D8B" w:rsidRDefault="00EE7D8B" w:rsidP="00EE7D8B">
            <w:pPr>
              <w:pStyle w:val="CETBodytext"/>
              <w:ind w:right="-1"/>
              <w:jc w:val="center"/>
              <w:rPr>
                <w:rFonts w:cs="Arial"/>
                <w:szCs w:val="18"/>
                <w:lang w:val="en-GB"/>
              </w:rPr>
            </w:pPr>
            <w:r w:rsidRPr="00EE7D8B">
              <w:rPr>
                <w:szCs w:val="18"/>
              </w:rPr>
              <w:t>49.40</w:t>
            </w:r>
          </w:p>
        </w:tc>
        <w:tc>
          <w:tcPr>
            <w:tcW w:w="1811" w:type="dxa"/>
            <w:shd w:val="clear" w:color="auto" w:fill="FFFFFF"/>
          </w:tcPr>
          <w:p w14:paraId="36A5CC6E" w14:textId="77777777" w:rsidR="00EE7D8B" w:rsidRPr="00EE7D8B" w:rsidRDefault="00EE7D8B" w:rsidP="00EE7D8B">
            <w:pPr>
              <w:pStyle w:val="CETBodytext"/>
              <w:ind w:right="-1"/>
              <w:jc w:val="center"/>
              <w:rPr>
                <w:rFonts w:cs="Arial"/>
                <w:szCs w:val="18"/>
                <w:lang w:val="en-GB"/>
              </w:rPr>
            </w:pPr>
            <w:r w:rsidRPr="00EE7D8B">
              <w:rPr>
                <w:szCs w:val="18"/>
              </w:rPr>
              <w:t>44.91</w:t>
            </w:r>
          </w:p>
        </w:tc>
        <w:tc>
          <w:tcPr>
            <w:tcW w:w="1134" w:type="dxa"/>
            <w:shd w:val="clear" w:color="auto" w:fill="FFFFFF"/>
          </w:tcPr>
          <w:p w14:paraId="11A07925" w14:textId="77777777" w:rsidR="00EE7D8B" w:rsidRPr="00EE7D8B" w:rsidRDefault="00EE7D8B" w:rsidP="00EE7D8B">
            <w:pPr>
              <w:pStyle w:val="CETBodytext"/>
              <w:ind w:right="-1"/>
              <w:jc w:val="center"/>
              <w:rPr>
                <w:rFonts w:cs="Arial"/>
                <w:szCs w:val="18"/>
                <w:lang w:val="en-GB"/>
              </w:rPr>
            </w:pPr>
            <w:r w:rsidRPr="00EE7D8B">
              <w:rPr>
                <w:szCs w:val="18"/>
              </w:rPr>
              <w:t>47.16</w:t>
            </w:r>
          </w:p>
        </w:tc>
      </w:tr>
      <w:tr w:rsidR="00EE7D8B" w:rsidRPr="00B57B36" w14:paraId="5A674467" w14:textId="77777777" w:rsidTr="00EE5823">
        <w:tc>
          <w:tcPr>
            <w:tcW w:w="1961" w:type="dxa"/>
            <w:shd w:val="clear" w:color="auto" w:fill="FFFFFF"/>
          </w:tcPr>
          <w:p w14:paraId="40B9C91E" w14:textId="77777777" w:rsidR="00EE7D8B" w:rsidRDefault="00EE7D8B" w:rsidP="00EE7D8B">
            <w:pPr>
              <w:pStyle w:val="CETBodytext"/>
              <w:ind w:right="-1"/>
              <w:jc w:val="center"/>
              <w:rPr>
                <w:rFonts w:cs="Arial"/>
                <w:szCs w:val="18"/>
                <w:lang w:val="en-GB"/>
              </w:rPr>
            </w:pPr>
            <w:r>
              <w:rPr>
                <w:rFonts w:cs="Arial"/>
                <w:szCs w:val="18"/>
                <w:lang w:val="en-GB"/>
              </w:rPr>
              <w:t>Hydrogen</w:t>
            </w:r>
          </w:p>
        </w:tc>
        <w:tc>
          <w:tcPr>
            <w:tcW w:w="1691" w:type="dxa"/>
            <w:shd w:val="clear" w:color="auto" w:fill="FFFFFF"/>
          </w:tcPr>
          <w:p w14:paraId="3265507A" w14:textId="77777777" w:rsidR="00EE7D8B" w:rsidRPr="00EE7D8B" w:rsidRDefault="00EE7D8B" w:rsidP="00EE7D8B">
            <w:pPr>
              <w:pStyle w:val="CETBodytext"/>
              <w:ind w:right="-1"/>
              <w:jc w:val="center"/>
              <w:rPr>
                <w:rFonts w:cs="Arial"/>
                <w:szCs w:val="18"/>
                <w:lang w:val="en-GB"/>
              </w:rPr>
            </w:pPr>
            <w:r w:rsidRPr="00EE7D8B">
              <w:rPr>
                <w:szCs w:val="18"/>
              </w:rPr>
              <w:t>6.50</w:t>
            </w:r>
          </w:p>
        </w:tc>
        <w:tc>
          <w:tcPr>
            <w:tcW w:w="1811" w:type="dxa"/>
            <w:shd w:val="clear" w:color="auto" w:fill="FFFFFF"/>
          </w:tcPr>
          <w:p w14:paraId="73CD2438" w14:textId="77777777" w:rsidR="00EE7D8B" w:rsidRPr="00EE7D8B" w:rsidRDefault="00EE7D8B" w:rsidP="00EE7D8B">
            <w:pPr>
              <w:pStyle w:val="CETBodytext"/>
              <w:ind w:right="-1"/>
              <w:jc w:val="center"/>
              <w:rPr>
                <w:rFonts w:cs="Arial"/>
                <w:szCs w:val="18"/>
                <w:lang w:val="en-GB"/>
              </w:rPr>
            </w:pPr>
            <w:r w:rsidRPr="00EE7D8B">
              <w:rPr>
                <w:szCs w:val="18"/>
              </w:rPr>
              <w:t>6.45</w:t>
            </w:r>
          </w:p>
        </w:tc>
        <w:tc>
          <w:tcPr>
            <w:tcW w:w="1134" w:type="dxa"/>
            <w:shd w:val="clear" w:color="auto" w:fill="FFFFFF"/>
          </w:tcPr>
          <w:p w14:paraId="1FF378A0" w14:textId="77777777" w:rsidR="00EE7D8B" w:rsidRPr="00EE7D8B" w:rsidRDefault="00EE7D8B" w:rsidP="00EE7D8B">
            <w:pPr>
              <w:pStyle w:val="CETBodytext"/>
              <w:ind w:right="-1"/>
              <w:jc w:val="center"/>
              <w:rPr>
                <w:rFonts w:cs="Arial"/>
                <w:szCs w:val="18"/>
                <w:lang w:val="en-GB"/>
              </w:rPr>
            </w:pPr>
            <w:r w:rsidRPr="00EE7D8B">
              <w:rPr>
                <w:szCs w:val="18"/>
              </w:rPr>
              <w:t>6.48</w:t>
            </w:r>
          </w:p>
        </w:tc>
      </w:tr>
      <w:tr w:rsidR="00EE7D8B" w:rsidRPr="00B57B36" w14:paraId="485C4E12" w14:textId="77777777" w:rsidTr="00EE5823">
        <w:tc>
          <w:tcPr>
            <w:tcW w:w="1961" w:type="dxa"/>
            <w:shd w:val="clear" w:color="auto" w:fill="FFFFFF"/>
          </w:tcPr>
          <w:p w14:paraId="46B7F8B0" w14:textId="77777777" w:rsidR="00EE7D8B" w:rsidRDefault="00EE7D8B" w:rsidP="00EE7D8B">
            <w:pPr>
              <w:pStyle w:val="CETBodytext"/>
              <w:ind w:right="-1"/>
              <w:jc w:val="center"/>
              <w:rPr>
                <w:rFonts w:cs="Arial"/>
                <w:szCs w:val="18"/>
                <w:lang w:val="en-GB"/>
              </w:rPr>
            </w:pPr>
            <w:r>
              <w:rPr>
                <w:rFonts w:cs="Arial"/>
                <w:szCs w:val="18"/>
                <w:lang w:val="en-GB"/>
              </w:rPr>
              <w:t>Nitrogen</w:t>
            </w:r>
          </w:p>
        </w:tc>
        <w:tc>
          <w:tcPr>
            <w:tcW w:w="1691" w:type="dxa"/>
            <w:shd w:val="clear" w:color="auto" w:fill="FFFFFF"/>
          </w:tcPr>
          <w:p w14:paraId="1ACC468A" w14:textId="77777777" w:rsidR="00EE7D8B" w:rsidRPr="00EE7D8B" w:rsidRDefault="00EE7D8B" w:rsidP="00EE7D8B">
            <w:pPr>
              <w:pStyle w:val="CETBodytext"/>
              <w:ind w:right="-1"/>
              <w:jc w:val="center"/>
              <w:rPr>
                <w:rFonts w:cs="Arial"/>
                <w:szCs w:val="18"/>
                <w:lang w:val="en-GB"/>
              </w:rPr>
            </w:pPr>
            <w:r w:rsidRPr="00EE7D8B">
              <w:rPr>
                <w:szCs w:val="18"/>
              </w:rPr>
              <w:t>1.50</w:t>
            </w:r>
          </w:p>
        </w:tc>
        <w:tc>
          <w:tcPr>
            <w:tcW w:w="1811" w:type="dxa"/>
            <w:shd w:val="clear" w:color="auto" w:fill="FFFFFF"/>
          </w:tcPr>
          <w:p w14:paraId="29BAE45E" w14:textId="77777777" w:rsidR="00EE7D8B" w:rsidRPr="00EE7D8B" w:rsidRDefault="00EE7D8B" w:rsidP="00EE7D8B">
            <w:pPr>
              <w:pStyle w:val="CETBodytext"/>
              <w:ind w:right="-1"/>
              <w:jc w:val="center"/>
              <w:rPr>
                <w:rFonts w:cs="Arial"/>
                <w:szCs w:val="18"/>
                <w:lang w:val="en-GB"/>
              </w:rPr>
            </w:pPr>
            <w:r w:rsidRPr="00EE7D8B">
              <w:rPr>
                <w:szCs w:val="18"/>
              </w:rPr>
              <w:t>1.70</w:t>
            </w:r>
          </w:p>
        </w:tc>
        <w:tc>
          <w:tcPr>
            <w:tcW w:w="1134" w:type="dxa"/>
            <w:shd w:val="clear" w:color="auto" w:fill="FFFFFF"/>
          </w:tcPr>
          <w:p w14:paraId="01D7A186" w14:textId="77777777" w:rsidR="00EE7D8B" w:rsidRPr="00EE7D8B" w:rsidRDefault="00EE7D8B" w:rsidP="00EE7D8B">
            <w:pPr>
              <w:pStyle w:val="CETBodytext"/>
              <w:ind w:right="-1"/>
              <w:jc w:val="center"/>
              <w:rPr>
                <w:rFonts w:cs="Arial"/>
                <w:szCs w:val="18"/>
                <w:lang w:val="en-GB"/>
              </w:rPr>
            </w:pPr>
            <w:r w:rsidRPr="00EE7D8B">
              <w:rPr>
                <w:szCs w:val="18"/>
              </w:rPr>
              <w:t>1.60</w:t>
            </w:r>
          </w:p>
        </w:tc>
      </w:tr>
      <w:tr w:rsidR="00EE7D8B" w:rsidRPr="00B57B36" w14:paraId="62CEA326" w14:textId="77777777" w:rsidTr="00EE5823">
        <w:tc>
          <w:tcPr>
            <w:tcW w:w="1961" w:type="dxa"/>
            <w:shd w:val="clear" w:color="auto" w:fill="FFFFFF"/>
          </w:tcPr>
          <w:p w14:paraId="182BF1D2" w14:textId="77777777" w:rsidR="00EE7D8B" w:rsidRDefault="00EE7D8B" w:rsidP="00EE7D8B">
            <w:pPr>
              <w:pStyle w:val="CETBodytext"/>
              <w:ind w:right="-1"/>
              <w:jc w:val="center"/>
              <w:rPr>
                <w:rFonts w:cs="Arial"/>
                <w:szCs w:val="18"/>
                <w:lang w:val="en-GB"/>
              </w:rPr>
            </w:pPr>
            <w:r>
              <w:rPr>
                <w:rFonts w:cs="Arial"/>
                <w:szCs w:val="18"/>
                <w:lang w:val="en-GB"/>
              </w:rPr>
              <w:t>Sulphur</w:t>
            </w:r>
          </w:p>
        </w:tc>
        <w:tc>
          <w:tcPr>
            <w:tcW w:w="1691" w:type="dxa"/>
            <w:shd w:val="clear" w:color="auto" w:fill="FFFFFF"/>
          </w:tcPr>
          <w:p w14:paraId="68E8B145" w14:textId="77777777" w:rsidR="00EE7D8B" w:rsidRPr="00EE7D8B" w:rsidRDefault="00EE7D8B" w:rsidP="00EE7D8B">
            <w:pPr>
              <w:pStyle w:val="CETBodytext"/>
              <w:ind w:right="-1"/>
              <w:jc w:val="center"/>
              <w:rPr>
                <w:rFonts w:cs="Arial"/>
                <w:szCs w:val="18"/>
                <w:lang w:val="en-GB"/>
              </w:rPr>
            </w:pPr>
            <w:r w:rsidRPr="00EE7D8B">
              <w:rPr>
                <w:szCs w:val="18"/>
              </w:rPr>
              <w:t>0.30</w:t>
            </w:r>
          </w:p>
        </w:tc>
        <w:tc>
          <w:tcPr>
            <w:tcW w:w="1811" w:type="dxa"/>
            <w:shd w:val="clear" w:color="auto" w:fill="FFFFFF"/>
          </w:tcPr>
          <w:p w14:paraId="41E595CF" w14:textId="77777777" w:rsidR="00EE7D8B" w:rsidRPr="00EE7D8B" w:rsidRDefault="00EE7D8B" w:rsidP="00EE7D8B">
            <w:pPr>
              <w:pStyle w:val="CETBodytext"/>
              <w:ind w:right="-1"/>
              <w:jc w:val="center"/>
              <w:rPr>
                <w:rFonts w:cs="Arial"/>
                <w:szCs w:val="18"/>
                <w:lang w:val="en-GB"/>
              </w:rPr>
            </w:pPr>
            <w:r w:rsidRPr="00EE7D8B">
              <w:rPr>
                <w:szCs w:val="18"/>
              </w:rPr>
              <w:t>2.12</w:t>
            </w:r>
          </w:p>
        </w:tc>
        <w:tc>
          <w:tcPr>
            <w:tcW w:w="1134" w:type="dxa"/>
            <w:shd w:val="clear" w:color="auto" w:fill="FFFFFF"/>
          </w:tcPr>
          <w:p w14:paraId="1FB0F5B3" w14:textId="77777777" w:rsidR="00EE7D8B" w:rsidRPr="00EE7D8B" w:rsidRDefault="00EE7D8B" w:rsidP="00EE7D8B">
            <w:pPr>
              <w:pStyle w:val="CETBodytext"/>
              <w:ind w:right="-1"/>
              <w:jc w:val="center"/>
              <w:rPr>
                <w:rFonts w:cs="Arial"/>
                <w:szCs w:val="18"/>
                <w:lang w:val="en-GB"/>
              </w:rPr>
            </w:pPr>
            <w:r w:rsidRPr="00EE7D8B">
              <w:rPr>
                <w:szCs w:val="18"/>
              </w:rPr>
              <w:t>0.70</w:t>
            </w:r>
          </w:p>
        </w:tc>
      </w:tr>
      <w:tr w:rsidR="00EE7D8B" w:rsidRPr="00B57B36" w14:paraId="382973C7" w14:textId="77777777" w:rsidTr="00EE5823">
        <w:tc>
          <w:tcPr>
            <w:tcW w:w="1961" w:type="dxa"/>
            <w:shd w:val="clear" w:color="auto" w:fill="FFFFFF"/>
          </w:tcPr>
          <w:p w14:paraId="2C55E1D1" w14:textId="77777777" w:rsidR="00EE7D8B" w:rsidRDefault="00EE7D8B" w:rsidP="00EE7D8B">
            <w:pPr>
              <w:pStyle w:val="CETBodytext"/>
              <w:ind w:right="-1"/>
              <w:jc w:val="center"/>
              <w:rPr>
                <w:rFonts w:cs="Arial"/>
                <w:szCs w:val="18"/>
                <w:lang w:val="en-GB"/>
              </w:rPr>
            </w:pPr>
            <w:r>
              <w:rPr>
                <w:rFonts w:cs="Arial"/>
                <w:szCs w:val="18"/>
                <w:lang w:val="en-GB"/>
              </w:rPr>
              <w:t>Oxygen</w:t>
            </w:r>
          </w:p>
        </w:tc>
        <w:tc>
          <w:tcPr>
            <w:tcW w:w="1691" w:type="dxa"/>
            <w:shd w:val="clear" w:color="auto" w:fill="FFFFFF"/>
          </w:tcPr>
          <w:p w14:paraId="75C4CFD0" w14:textId="77777777" w:rsidR="00EE7D8B" w:rsidRPr="00EE7D8B" w:rsidRDefault="00EE7D8B" w:rsidP="00EE7D8B">
            <w:pPr>
              <w:pStyle w:val="CETBodytext"/>
              <w:ind w:right="-1"/>
              <w:jc w:val="center"/>
              <w:rPr>
                <w:rFonts w:cs="Arial"/>
                <w:szCs w:val="18"/>
                <w:lang w:val="en-GB"/>
              </w:rPr>
            </w:pPr>
            <w:r w:rsidRPr="00EE7D8B">
              <w:rPr>
                <w:szCs w:val="18"/>
              </w:rPr>
              <w:t>36.10</w:t>
            </w:r>
          </w:p>
        </w:tc>
        <w:tc>
          <w:tcPr>
            <w:tcW w:w="1811" w:type="dxa"/>
            <w:shd w:val="clear" w:color="auto" w:fill="FFFFFF"/>
          </w:tcPr>
          <w:p w14:paraId="1A6543F1" w14:textId="77777777" w:rsidR="00EE7D8B" w:rsidRPr="00EE7D8B" w:rsidRDefault="00EE7D8B" w:rsidP="00EE7D8B">
            <w:pPr>
              <w:pStyle w:val="CETBodytext"/>
              <w:ind w:right="-1"/>
              <w:jc w:val="center"/>
              <w:rPr>
                <w:rFonts w:cs="Arial"/>
                <w:szCs w:val="18"/>
                <w:lang w:val="en-GB"/>
              </w:rPr>
            </w:pPr>
            <w:r w:rsidRPr="00EE7D8B">
              <w:rPr>
                <w:szCs w:val="18"/>
              </w:rPr>
              <w:t>44.82</w:t>
            </w:r>
          </w:p>
        </w:tc>
        <w:tc>
          <w:tcPr>
            <w:tcW w:w="1134" w:type="dxa"/>
            <w:shd w:val="clear" w:color="auto" w:fill="FFFFFF"/>
          </w:tcPr>
          <w:p w14:paraId="39EC4540" w14:textId="77777777" w:rsidR="00EE7D8B" w:rsidRPr="00EE7D8B" w:rsidRDefault="00EE7D8B" w:rsidP="00EE7D8B">
            <w:pPr>
              <w:pStyle w:val="CETBodytext"/>
              <w:ind w:right="-1"/>
              <w:jc w:val="center"/>
              <w:rPr>
                <w:rFonts w:cs="Arial"/>
                <w:szCs w:val="18"/>
                <w:lang w:val="en-GB"/>
              </w:rPr>
            </w:pPr>
            <w:r w:rsidRPr="00EE7D8B">
              <w:rPr>
                <w:szCs w:val="18"/>
              </w:rPr>
              <w:t>40.45</w:t>
            </w:r>
          </w:p>
        </w:tc>
      </w:tr>
      <w:tr w:rsidR="00EE7D8B" w:rsidRPr="00B57B36" w14:paraId="15A85D2C" w14:textId="77777777" w:rsidTr="00EE5823">
        <w:tc>
          <w:tcPr>
            <w:tcW w:w="1961" w:type="dxa"/>
            <w:shd w:val="clear" w:color="auto" w:fill="FFFFFF"/>
          </w:tcPr>
          <w:p w14:paraId="294B76BB" w14:textId="77777777" w:rsidR="00EE7D8B" w:rsidRDefault="00EE7D8B" w:rsidP="00EE7D8B">
            <w:pPr>
              <w:pStyle w:val="CETBodytext"/>
              <w:ind w:right="-1"/>
              <w:jc w:val="center"/>
              <w:rPr>
                <w:rFonts w:cs="Arial"/>
                <w:szCs w:val="18"/>
                <w:lang w:val="en-GB"/>
              </w:rPr>
            </w:pPr>
            <w:r>
              <w:rPr>
                <w:rFonts w:cs="Arial"/>
                <w:szCs w:val="18"/>
                <w:lang w:val="en-GB"/>
              </w:rPr>
              <w:t>Heating Value</w:t>
            </w:r>
          </w:p>
        </w:tc>
        <w:tc>
          <w:tcPr>
            <w:tcW w:w="1691" w:type="dxa"/>
            <w:shd w:val="clear" w:color="auto" w:fill="FFFFFF"/>
          </w:tcPr>
          <w:p w14:paraId="4F16AAD1" w14:textId="77777777" w:rsidR="00EE7D8B" w:rsidRPr="00B57B36" w:rsidRDefault="00EE7D8B" w:rsidP="00EE7D8B">
            <w:pPr>
              <w:pStyle w:val="CETBodytext"/>
              <w:ind w:right="-1"/>
              <w:jc w:val="center"/>
              <w:rPr>
                <w:rFonts w:cs="Arial"/>
                <w:szCs w:val="18"/>
                <w:lang w:val="en-GB"/>
              </w:rPr>
            </w:pPr>
          </w:p>
        </w:tc>
        <w:tc>
          <w:tcPr>
            <w:tcW w:w="1811" w:type="dxa"/>
            <w:shd w:val="clear" w:color="auto" w:fill="FFFFFF"/>
          </w:tcPr>
          <w:p w14:paraId="33A3E752" w14:textId="77777777" w:rsidR="00EE7D8B" w:rsidRPr="00B57B36" w:rsidRDefault="00EE7D8B" w:rsidP="00EE7D8B">
            <w:pPr>
              <w:pStyle w:val="CETBodytext"/>
              <w:ind w:right="-1"/>
              <w:jc w:val="center"/>
              <w:rPr>
                <w:rFonts w:cs="Arial"/>
                <w:szCs w:val="18"/>
                <w:lang w:val="en-GB"/>
              </w:rPr>
            </w:pPr>
          </w:p>
        </w:tc>
        <w:tc>
          <w:tcPr>
            <w:tcW w:w="1134" w:type="dxa"/>
            <w:shd w:val="clear" w:color="auto" w:fill="FFFFFF"/>
          </w:tcPr>
          <w:p w14:paraId="31EE1500" w14:textId="77777777" w:rsidR="00EE7D8B" w:rsidRPr="00B57B36" w:rsidRDefault="00EE7D8B" w:rsidP="00EE7D8B">
            <w:pPr>
              <w:pStyle w:val="CETBodytext"/>
              <w:ind w:right="-1"/>
              <w:jc w:val="center"/>
              <w:rPr>
                <w:rFonts w:cs="Arial"/>
                <w:szCs w:val="18"/>
                <w:lang w:val="en-GB"/>
              </w:rPr>
            </w:pPr>
          </w:p>
        </w:tc>
      </w:tr>
      <w:tr w:rsidR="00EE7D8B" w:rsidRPr="00B57B36" w14:paraId="29C75CDC" w14:textId="77777777" w:rsidTr="00EE5823">
        <w:tc>
          <w:tcPr>
            <w:tcW w:w="1961" w:type="dxa"/>
            <w:shd w:val="clear" w:color="auto" w:fill="FFFFFF"/>
          </w:tcPr>
          <w:p w14:paraId="770B0EFD" w14:textId="77777777" w:rsidR="00EE7D8B" w:rsidRDefault="00EE7D8B" w:rsidP="00EE7D8B">
            <w:pPr>
              <w:pStyle w:val="CETBodytext"/>
              <w:ind w:right="-1"/>
              <w:jc w:val="center"/>
              <w:rPr>
                <w:rFonts w:cs="Arial"/>
                <w:szCs w:val="18"/>
                <w:lang w:val="en-GB"/>
              </w:rPr>
            </w:pPr>
            <w:r>
              <w:rPr>
                <w:rFonts w:cs="Arial"/>
                <w:szCs w:val="18"/>
                <w:lang w:val="en-GB"/>
              </w:rPr>
              <w:t>LHV (MJ/kg)</w:t>
            </w:r>
          </w:p>
        </w:tc>
        <w:tc>
          <w:tcPr>
            <w:tcW w:w="1691" w:type="dxa"/>
            <w:shd w:val="clear" w:color="auto" w:fill="FFFFFF"/>
          </w:tcPr>
          <w:p w14:paraId="7E4AEDFA" w14:textId="77777777" w:rsidR="00EE7D8B" w:rsidRPr="00EE7D8B" w:rsidRDefault="00EE7D8B" w:rsidP="00EE7D8B">
            <w:pPr>
              <w:pStyle w:val="CETBodytext"/>
              <w:ind w:right="-1"/>
              <w:jc w:val="center"/>
              <w:rPr>
                <w:rFonts w:cs="Arial"/>
                <w:szCs w:val="18"/>
                <w:lang w:val="en-GB"/>
              </w:rPr>
            </w:pPr>
            <w:r w:rsidRPr="00EE7D8B">
              <w:rPr>
                <w:szCs w:val="18"/>
              </w:rPr>
              <w:t>15.20</w:t>
            </w:r>
          </w:p>
        </w:tc>
        <w:tc>
          <w:tcPr>
            <w:tcW w:w="1811" w:type="dxa"/>
            <w:shd w:val="clear" w:color="auto" w:fill="FFFFFF"/>
          </w:tcPr>
          <w:p w14:paraId="1B988995" w14:textId="77777777" w:rsidR="00EE7D8B" w:rsidRPr="00EE7D8B" w:rsidRDefault="00EE7D8B" w:rsidP="00EE7D8B">
            <w:pPr>
              <w:pStyle w:val="CETBodytext"/>
              <w:ind w:right="-1"/>
              <w:jc w:val="center"/>
              <w:rPr>
                <w:rFonts w:cs="Arial"/>
                <w:szCs w:val="18"/>
                <w:lang w:val="en-GB"/>
              </w:rPr>
            </w:pPr>
            <w:r w:rsidRPr="00EE7D8B">
              <w:rPr>
                <w:szCs w:val="18"/>
              </w:rPr>
              <w:t xml:space="preserve">15.36 </w:t>
            </w:r>
            <w:r w:rsidRPr="00EE7D8B">
              <w:rPr>
                <w:szCs w:val="18"/>
                <w:vertAlign w:val="superscript"/>
              </w:rPr>
              <w:t>a</w:t>
            </w:r>
          </w:p>
        </w:tc>
        <w:tc>
          <w:tcPr>
            <w:tcW w:w="1134" w:type="dxa"/>
            <w:shd w:val="clear" w:color="auto" w:fill="FFFFFF"/>
          </w:tcPr>
          <w:p w14:paraId="45E2D30C" w14:textId="77777777" w:rsidR="00EE7D8B" w:rsidRPr="00EE7D8B" w:rsidRDefault="00EE7D8B" w:rsidP="00EE7D8B">
            <w:pPr>
              <w:pStyle w:val="CETBodytext"/>
              <w:ind w:right="-1"/>
              <w:jc w:val="center"/>
              <w:rPr>
                <w:rFonts w:cs="Arial"/>
                <w:szCs w:val="18"/>
                <w:lang w:val="en-GB"/>
              </w:rPr>
            </w:pPr>
            <w:r w:rsidRPr="00EE7D8B">
              <w:rPr>
                <w:szCs w:val="18"/>
              </w:rPr>
              <w:t>15.93</w:t>
            </w:r>
            <w:r w:rsidRPr="00EE7D8B">
              <w:rPr>
                <w:szCs w:val="18"/>
                <w:vertAlign w:val="superscript"/>
              </w:rPr>
              <w:t xml:space="preserve"> a</w:t>
            </w:r>
          </w:p>
        </w:tc>
      </w:tr>
    </w:tbl>
    <w:p w14:paraId="6042342B" w14:textId="77777777" w:rsidR="0058089D" w:rsidRDefault="0058089D" w:rsidP="00083DCA">
      <w:pPr>
        <w:spacing w:line="240" w:lineRule="auto"/>
        <w:rPr>
          <w:rFonts w:ascii="Times New Roman" w:hAnsi="Times New Roman"/>
          <w:sz w:val="20"/>
        </w:rPr>
      </w:pPr>
      <w:r w:rsidRPr="00657366">
        <w:rPr>
          <w:rFonts w:ascii="Times New Roman" w:hAnsi="Times New Roman"/>
          <w:sz w:val="20"/>
          <w:vertAlign w:val="superscript"/>
        </w:rPr>
        <w:t>a</w:t>
      </w:r>
      <w:r w:rsidRPr="00657366">
        <w:rPr>
          <w:rFonts w:ascii="Times New Roman" w:hAnsi="Times New Roman"/>
          <w:sz w:val="20"/>
        </w:rPr>
        <w:t>Estimated by equation 1.</w:t>
      </w:r>
    </w:p>
    <w:p w14:paraId="66D84410" w14:textId="77777777" w:rsidR="00EE7D8B" w:rsidRDefault="00EE7D8B" w:rsidP="0058089D">
      <w:pPr>
        <w:spacing w:line="240" w:lineRule="auto"/>
        <w:rPr>
          <w:rFonts w:ascii="Times New Roman" w:hAnsi="Times New Roman"/>
          <w:sz w:val="20"/>
        </w:rPr>
      </w:pPr>
    </w:p>
    <w:p w14:paraId="11B80FFA" w14:textId="76DBC123" w:rsidR="00EE7D8B" w:rsidRPr="00AD4EE6" w:rsidRDefault="00EE7D8B" w:rsidP="00EE5823">
      <w:pPr>
        <w:pStyle w:val="CETBodytext"/>
        <w:rPr>
          <w:lang w:val="en-GB"/>
        </w:rPr>
      </w:pPr>
      <w:r w:rsidRPr="006A72AA">
        <w:rPr>
          <w:lang w:val="en-GB"/>
        </w:rPr>
        <w:t xml:space="preserve">Figure 1 shows the process scheme developed </w:t>
      </w:r>
      <w:r w:rsidR="005C6F61" w:rsidRPr="006A72AA">
        <w:rPr>
          <w:lang w:val="en-GB"/>
        </w:rPr>
        <w:t>in</w:t>
      </w:r>
      <w:r w:rsidR="0077060A" w:rsidRPr="006A72AA">
        <w:rPr>
          <w:lang w:val="en-GB"/>
        </w:rPr>
        <w:t xml:space="preserve"> </w:t>
      </w:r>
      <w:r w:rsidRPr="006A72AA">
        <w:rPr>
          <w:lang w:val="en-GB"/>
        </w:rPr>
        <w:t>Aspen</w:t>
      </w:r>
      <w:r w:rsidR="00924673" w:rsidRPr="006A72AA">
        <w:rPr>
          <w:lang w:val="en-GB"/>
        </w:rPr>
        <w:t xml:space="preserve"> </w:t>
      </w:r>
      <w:r w:rsidRPr="006A72AA">
        <w:rPr>
          <w:lang w:val="en-GB"/>
        </w:rPr>
        <w:t>Plus v8.6. A mass flow of 200 kg/h of RDF was simulated as a non-conventional stream</w:t>
      </w:r>
      <w:r w:rsidR="00CF6878" w:rsidRPr="006A72AA">
        <w:rPr>
          <w:lang w:val="en-GB"/>
        </w:rPr>
        <w:t xml:space="preserve"> entering a</w:t>
      </w:r>
      <w:r w:rsidR="005C6F61" w:rsidRPr="006A72AA">
        <w:rPr>
          <w:lang w:val="en-GB"/>
        </w:rPr>
        <w:t>n</w:t>
      </w:r>
      <w:r w:rsidR="00CF6878" w:rsidRPr="006A72AA">
        <w:rPr>
          <w:lang w:val="en-GB"/>
        </w:rPr>
        <w:t xml:space="preserve"> “RStoic” reacto</w:t>
      </w:r>
      <w:r w:rsidR="006A72AA" w:rsidRPr="006A72AA">
        <w:rPr>
          <w:lang w:val="en-GB"/>
        </w:rPr>
        <w:t>r, s</w:t>
      </w:r>
      <w:r w:rsidR="00CF6878" w:rsidRPr="006A72AA">
        <w:rPr>
          <w:lang w:val="en-GB"/>
        </w:rPr>
        <w:t>imulat</w:t>
      </w:r>
      <w:r w:rsidR="006A72AA" w:rsidRPr="006A72AA">
        <w:rPr>
          <w:lang w:val="en-GB"/>
        </w:rPr>
        <w:t>ing</w:t>
      </w:r>
      <w:r w:rsidR="00CF6878" w:rsidRPr="006A72AA">
        <w:rPr>
          <w:lang w:val="en-GB"/>
        </w:rPr>
        <w:t xml:space="preserve"> a drying process</w:t>
      </w:r>
      <w:r w:rsidR="006A72AA" w:rsidRPr="006A72AA">
        <w:rPr>
          <w:lang w:val="en-GB"/>
        </w:rPr>
        <w:t xml:space="preserve"> and</w:t>
      </w:r>
      <w:r w:rsidR="00CF6878" w:rsidRPr="006A72AA">
        <w:rPr>
          <w:lang w:val="en-GB"/>
        </w:rPr>
        <w:t xml:space="preserve"> removing</w:t>
      </w:r>
      <w:r w:rsidR="0077060A" w:rsidRPr="006A72AA">
        <w:rPr>
          <w:lang w:val="en-GB"/>
        </w:rPr>
        <w:t xml:space="preserve"> </w:t>
      </w:r>
      <w:r w:rsidR="00A24732" w:rsidRPr="006A72AA">
        <w:rPr>
          <w:lang w:val="en-GB"/>
        </w:rPr>
        <w:t>90% o</w:t>
      </w:r>
      <w:r w:rsidR="00924673" w:rsidRPr="006A72AA">
        <w:rPr>
          <w:lang w:val="en-GB"/>
        </w:rPr>
        <w:t>f</w:t>
      </w:r>
      <w:r w:rsidR="0077060A" w:rsidRPr="006A72AA">
        <w:rPr>
          <w:lang w:val="en-GB"/>
        </w:rPr>
        <w:t xml:space="preserve"> </w:t>
      </w:r>
      <w:r w:rsidR="00CF6878" w:rsidRPr="006A72AA">
        <w:rPr>
          <w:lang w:val="en-GB"/>
        </w:rPr>
        <w:t xml:space="preserve">the water content from the RDF. The dried mass then enters </w:t>
      </w:r>
      <w:r w:rsidR="0077060A" w:rsidRPr="006A72AA">
        <w:rPr>
          <w:lang w:val="en-GB"/>
        </w:rPr>
        <w:t xml:space="preserve">the </w:t>
      </w:r>
      <w:r w:rsidR="00CF6878" w:rsidRPr="006A72AA">
        <w:rPr>
          <w:lang w:val="en-GB"/>
        </w:rPr>
        <w:t>Yield</w:t>
      </w:r>
      <w:r w:rsidR="0077060A" w:rsidRPr="006A72AA">
        <w:rPr>
          <w:lang w:val="en-GB"/>
        </w:rPr>
        <w:t xml:space="preserve"> </w:t>
      </w:r>
      <w:r w:rsidR="00CF6878" w:rsidRPr="006A72AA">
        <w:rPr>
          <w:lang w:val="en-GB"/>
        </w:rPr>
        <w:t xml:space="preserve">block to simulate a pyrolysis step, operating </w:t>
      </w:r>
      <w:r w:rsidRPr="006A72AA">
        <w:rPr>
          <w:lang w:val="en-GB"/>
        </w:rPr>
        <w:t>at 500 ⁰C</w:t>
      </w:r>
      <w:r w:rsidR="005C6F61" w:rsidRPr="006A72AA">
        <w:rPr>
          <w:lang w:val="en-GB"/>
        </w:rPr>
        <w:t xml:space="preserve"> and</w:t>
      </w:r>
      <w:r w:rsidRPr="006A72AA">
        <w:rPr>
          <w:lang w:val="en-GB"/>
        </w:rPr>
        <w:t xml:space="preserve"> 1 bar. </w:t>
      </w:r>
      <w:r w:rsidR="00E8291C" w:rsidRPr="006A72AA">
        <w:rPr>
          <w:lang w:val="en-GB"/>
        </w:rPr>
        <w:t>This block is essentially decomposing the RDF into known components, such as H</w:t>
      </w:r>
      <w:r w:rsidR="00E8291C" w:rsidRPr="006A72AA">
        <w:rPr>
          <w:vertAlign w:val="subscript"/>
          <w:lang w:val="en-GB"/>
        </w:rPr>
        <w:t>2</w:t>
      </w:r>
      <w:r w:rsidR="00E8291C" w:rsidRPr="006A72AA">
        <w:rPr>
          <w:lang w:val="en-GB"/>
        </w:rPr>
        <w:t>, O</w:t>
      </w:r>
      <w:r w:rsidR="005C6F61" w:rsidRPr="006A72AA">
        <w:rPr>
          <w:vertAlign w:val="subscript"/>
          <w:lang w:val="en-GB"/>
        </w:rPr>
        <w:t>2</w:t>
      </w:r>
      <w:r w:rsidR="00E8291C" w:rsidRPr="006A72AA">
        <w:rPr>
          <w:lang w:val="en-GB"/>
        </w:rPr>
        <w:t>, N</w:t>
      </w:r>
      <w:r w:rsidR="005C6F61" w:rsidRPr="006A72AA">
        <w:rPr>
          <w:vertAlign w:val="subscript"/>
          <w:lang w:val="en-GB"/>
        </w:rPr>
        <w:t>2</w:t>
      </w:r>
      <w:r w:rsidR="00E8291C" w:rsidRPr="006A72AA">
        <w:rPr>
          <w:lang w:val="en-GB"/>
        </w:rPr>
        <w:t>,</w:t>
      </w:r>
      <w:r w:rsidR="00970425" w:rsidRPr="006A72AA">
        <w:rPr>
          <w:lang w:val="en-GB"/>
        </w:rPr>
        <w:t xml:space="preserve"> and</w:t>
      </w:r>
      <w:r w:rsidR="00E8291C" w:rsidRPr="006A72AA">
        <w:rPr>
          <w:lang w:val="en-GB"/>
        </w:rPr>
        <w:t xml:space="preserve"> H</w:t>
      </w:r>
      <w:r w:rsidR="005C6F61" w:rsidRPr="006A72AA">
        <w:rPr>
          <w:vertAlign w:val="subscript"/>
          <w:lang w:val="en-GB"/>
        </w:rPr>
        <w:t>2</w:t>
      </w:r>
      <w:r w:rsidR="00E8291C" w:rsidRPr="006A72AA">
        <w:rPr>
          <w:lang w:val="en-GB"/>
        </w:rPr>
        <w:t>O</w:t>
      </w:r>
      <w:r w:rsidR="00924673" w:rsidRPr="006A72AA">
        <w:rPr>
          <w:lang w:val="en-GB"/>
        </w:rPr>
        <w:t xml:space="preserve"> </w:t>
      </w:r>
      <w:r w:rsidR="00E8291C" w:rsidRPr="006A72AA">
        <w:rPr>
          <w:lang w:val="en-GB"/>
        </w:rPr>
        <w:t>based on a known yield distribution.</w:t>
      </w:r>
      <w:r w:rsidRPr="00AD4EE6">
        <w:rPr>
          <w:lang w:val="en-GB"/>
        </w:rPr>
        <w:tab/>
      </w:r>
    </w:p>
    <w:p w14:paraId="5D49AE74" w14:textId="77777777" w:rsidR="00EE5823" w:rsidRPr="00AD4EE6" w:rsidRDefault="00EE5823" w:rsidP="00EE5823">
      <w:pPr>
        <w:pStyle w:val="CETBodytext"/>
        <w:rPr>
          <w:lang w:val="en-GB"/>
        </w:rPr>
      </w:pPr>
    </w:p>
    <w:p w14:paraId="6EB680AA" w14:textId="5986BEDD" w:rsidR="00EE7D8B" w:rsidRPr="006A72AA" w:rsidRDefault="005C6F61" w:rsidP="00EE5823">
      <w:pPr>
        <w:pStyle w:val="CETBodytext"/>
        <w:rPr>
          <w:lang w:val="en-GB"/>
        </w:rPr>
      </w:pPr>
      <w:r w:rsidRPr="00AD4EE6">
        <w:rPr>
          <w:lang w:val="en-GB"/>
        </w:rPr>
        <w:lastRenderedPageBreak/>
        <w:t>V</w:t>
      </w:r>
      <w:r w:rsidR="00CF6878" w:rsidRPr="00AD4EE6">
        <w:rPr>
          <w:lang w:val="en-GB"/>
        </w:rPr>
        <w:t>olatile</w:t>
      </w:r>
      <w:r w:rsidRPr="00AD4EE6">
        <w:rPr>
          <w:lang w:val="en-GB"/>
        </w:rPr>
        <w:t xml:space="preserve"> compounds</w:t>
      </w:r>
      <w:r w:rsidR="00CF6878" w:rsidRPr="00AD4EE6">
        <w:rPr>
          <w:lang w:val="en-GB"/>
        </w:rPr>
        <w:t xml:space="preserve"> </w:t>
      </w:r>
      <w:r w:rsidR="0077060A">
        <w:rPr>
          <w:lang w:val="en-GB"/>
        </w:rPr>
        <w:t xml:space="preserve">are used in the </w:t>
      </w:r>
      <w:r w:rsidR="00CF6878" w:rsidRPr="00AD4EE6">
        <w:rPr>
          <w:lang w:val="en-GB"/>
        </w:rPr>
        <w:t xml:space="preserve">RGibbs reactor </w:t>
      </w:r>
      <w:r w:rsidR="00EE7D8B" w:rsidRPr="00AD4EE6">
        <w:rPr>
          <w:lang w:val="en-GB"/>
        </w:rPr>
        <w:t xml:space="preserve">in which thermodynamic equilibrium is reached by minimizing the Gibbs free energy. </w:t>
      </w:r>
      <w:r w:rsidR="00E8291C" w:rsidRPr="00AD4EE6">
        <w:rPr>
          <w:lang w:val="en-GB"/>
        </w:rPr>
        <w:t xml:space="preserve">A more detailed description </w:t>
      </w:r>
      <w:r w:rsidRPr="00AD4EE6">
        <w:rPr>
          <w:lang w:val="en-GB"/>
        </w:rPr>
        <w:t>of</w:t>
      </w:r>
      <w:r w:rsidR="00E8291C" w:rsidRPr="00AD4EE6">
        <w:rPr>
          <w:lang w:val="en-GB"/>
        </w:rPr>
        <w:t xml:space="preserve"> the chemical reactions expected to occur when gasifying solid waste is described by Arena (2012). </w:t>
      </w:r>
      <w:r w:rsidR="00EE7D8B" w:rsidRPr="00AD4EE6">
        <w:rPr>
          <w:lang w:val="en-GB"/>
        </w:rPr>
        <w:t xml:space="preserve">The </w:t>
      </w:r>
      <w:r w:rsidR="00EE7D8B" w:rsidRPr="004D3F78">
        <w:rPr>
          <w:lang w:val="en-GB"/>
        </w:rPr>
        <w:t xml:space="preserve">gasification step </w:t>
      </w:r>
      <w:r w:rsidR="00266160" w:rsidRPr="004D3F78">
        <w:rPr>
          <w:lang w:val="en-GB"/>
        </w:rPr>
        <w:t xml:space="preserve">initially </w:t>
      </w:r>
      <w:r w:rsidR="00EE7D8B" w:rsidRPr="004D3F78">
        <w:rPr>
          <w:lang w:val="en-GB"/>
        </w:rPr>
        <w:t xml:space="preserve">operates at </w:t>
      </w:r>
      <w:r w:rsidR="00266160" w:rsidRPr="004D3F78">
        <w:rPr>
          <w:lang w:val="en-GB"/>
        </w:rPr>
        <w:t xml:space="preserve">750 </w:t>
      </w:r>
      <w:r w:rsidR="00266160" w:rsidRPr="004D3F78">
        <w:rPr>
          <w:rFonts w:ascii="Calibri" w:hAnsi="Calibri" w:cs="Calibri"/>
          <w:lang w:val="en-GB"/>
        </w:rPr>
        <w:t>°</w:t>
      </w:r>
      <w:r w:rsidR="00266160" w:rsidRPr="004D3F78">
        <w:rPr>
          <w:lang w:val="en-GB"/>
        </w:rPr>
        <w:t xml:space="preserve">C, </w:t>
      </w:r>
      <w:r w:rsidR="00EE7D8B" w:rsidRPr="004D3F78">
        <w:rPr>
          <w:lang w:val="en-GB"/>
        </w:rPr>
        <w:t xml:space="preserve">1 </w:t>
      </w:r>
      <w:r w:rsidR="00EE7D8B" w:rsidRPr="006A72AA">
        <w:rPr>
          <w:lang w:val="en-GB"/>
        </w:rPr>
        <w:t>bar</w:t>
      </w:r>
      <w:r w:rsidR="00266160" w:rsidRPr="006A72AA">
        <w:rPr>
          <w:lang w:val="en-GB"/>
        </w:rPr>
        <w:t>,</w:t>
      </w:r>
      <w:r w:rsidR="00EE7D8B" w:rsidRPr="006A72AA">
        <w:rPr>
          <w:lang w:val="en-GB"/>
        </w:rPr>
        <w:t xml:space="preserve"> and the gasification agent mass flow is </w:t>
      </w:r>
      <w:r w:rsidR="0004317E" w:rsidRPr="006A72AA">
        <w:rPr>
          <w:lang w:val="en-GB"/>
        </w:rPr>
        <w:t xml:space="preserve">initially </w:t>
      </w:r>
      <w:r w:rsidR="00A24732" w:rsidRPr="006A72AA">
        <w:rPr>
          <w:lang w:val="en-GB"/>
        </w:rPr>
        <w:t>25</w:t>
      </w:r>
      <w:r w:rsidR="00EE7D8B" w:rsidRPr="006A72AA">
        <w:rPr>
          <w:lang w:val="en-GB"/>
        </w:rPr>
        <w:t>0 kg/h. The resulting stream goes into</w:t>
      </w:r>
      <w:r w:rsidR="0004317E" w:rsidRPr="006A72AA">
        <w:rPr>
          <w:lang w:val="en-GB"/>
        </w:rPr>
        <w:t xml:space="preserve"> a cyclone to remove the ashes</w:t>
      </w:r>
      <w:r w:rsidR="0077060A" w:rsidRPr="006A72AA">
        <w:rPr>
          <w:lang w:val="en-GB"/>
        </w:rPr>
        <w:t xml:space="preserve"> </w:t>
      </w:r>
      <w:r w:rsidR="0004317E" w:rsidRPr="006A72AA">
        <w:rPr>
          <w:lang w:val="en-GB"/>
        </w:rPr>
        <w:t xml:space="preserve">and is cooled to 25 </w:t>
      </w:r>
      <w:r w:rsidR="0004317E" w:rsidRPr="006A72AA">
        <w:rPr>
          <w:rFonts w:ascii="Calibri" w:hAnsi="Calibri" w:cs="Calibri"/>
          <w:lang w:val="en-GB"/>
        </w:rPr>
        <w:t>°</w:t>
      </w:r>
      <w:r w:rsidR="0004317E" w:rsidRPr="006A72AA">
        <w:rPr>
          <w:lang w:val="en-GB"/>
        </w:rPr>
        <w:t xml:space="preserve">C, allowing </w:t>
      </w:r>
      <w:r w:rsidR="00970425" w:rsidRPr="006A72AA">
        <w:rPr>
          <w:lang w:val="en-GB"/>
        </w:rPr>
        <w:t>the removal of</w:t>
      </w:r>
      <w:r w:rsidR="0004317E" w:rsidRPr="006A72AA">
        <w:rPr>
          <w:lang w:val="en-GB"/>
        </w:rPr>
        <w:t xml:space="preserve"> water and other residues (H</w:t>
      </w:r>
      <w:r w:rsidR="0004317E" w:rsidRPr="006A72AA">
        <w:rPr>
          <w:vertAlign w:val="subscript"/>
          <w:lang w:val="en-GB"/>
        </w:rPr>
        <w:t>2</w:t>
      </w:r>
      <w:r w:rsidR="0004317E" w:rsidRPr="006A72AA">
        <w:rPr>
          <w:lang w:val="en-GB"/>
        </w:rPr>
        <w:t>S) before entering the compressor</w:t>
      </w:r>
      <w:r w:rsidR="004D3F78" w:rsidRPr="006A72AA">
        <w:rPr>
          <w:lang w:val="en-GB"/>
        </w:rPr>
        <w:t xml:space="preserve"> (dry syngas)</w:t>
      </w:r>
      <w:r w:rsidR="0004317E" w:rsidRPr="006A72AA">
        <w:rPr>
          <w:lang w:val="en-GB"/>
        </w:rPr>
        <w:t>.</w:t>
      </w:r>
    </w:p>
    <w:p w14:paraId="6A72E281" w14:textId="77777777" w:rsidR="00EE5823" w:rsidRPr="006A72AA" w:rsidRDefault="00EE5823" w:rsidP="00EE5823">
      <w:pPr>
        <w:pStyle w:val="CETBodytext"/>
        <w:rPr>
          <w:lang w:val="en-GB"/>
        </w:rPr>
      </w:pPr>
    </w:p>
    <w:p w14:paraId="54686CAB" w14:textId="6A6909B3" w:rsidR="00390812" w:rsidRPr="006A72AA" w:rsidRDefault="005C6F61" w:rsidP="00EE5823">
      <w:pPr>
        <w:pStyle w:val="CETBodytext"/>
        <w:rPr>
          <w:lang w:val="en-GB"/>
        </w:rPr>
      </w:pPr>
      <w:r w:rsidRPr="006A72AA">
        <w:rPr>
          <w:lang w:val="en-GB"/>
        </w:rPr>
        <w:t xml:space="preserve">To </w:t>
      </w:r>
      <w:r w:rsidR="00924673" w:rsidRPr="006A72AA">
        <w:rPr>
          <w:lang w:val="en-GB"/>
        </w:rPr>
        <w:t>generate</w:t>
      </w:r>
      <w:r w:rsidRPr="006A72AA">
        <w:rPr>
          <w:lang w:val="en-GB"/>
        </w:rPr>
        <w:t xml:space="preserve"> electricity</w:t>
      </w:r>
      <w:r w:rsidR="00EE7D8B" w:rsidRPr="006A72AA">
        <w:rPr>
          <w:lang w:val="en-GB"/>
        </w:rPr>
        <w:t xml:space="preserve">, a Brayton cycle was implemented simulating a </w:t>
      </w:r>
      <w:r w:rsidR="001B77E4" w:rsidRPr="006A72AA">
        <w:rPr>
          <w:lang w:val="en-GB"/>
        </w:rPr>
        <w:t>Capstone C200 micro</w:t>
      </w:r>
      <w:r w:rsidR="00EE7D8B" w:rsidRPr="006A72AA">
        <w:rPr>
          <w:lang w:val="en-GB"/>
        </w:rPr>
        <w:t xml:space="preserve">turbine </w:t>
      </w:r>
      <w:r w:rsidR="00E96AAF" w:rsidRPr="006A72AA">
        <w:rPr>
          <w:lang w:val="en-GB"/>
        </w:rPr>
        <w:t xml:space="preserve">taking as reference </w:t>
      </w:r>
      <w:r w:rsidR="00EE7D8B" w:rsidRPr="006A72AA">
        <w:rPr>
          <w:lang w:val="en-GB"/>
        </w:rPr>
        <w:t xml:space="preserve">the efficiencies </w:t>
      </w:r>
      <w:r w:rsidR="00970425" w:rsidRPr="006A72AA">
        <w:rPr>
          <w:lang w:val="en-GB"/>
        </w:rPr>
        <w:t>reported</w:t>
      </w:r>
      <w:r w:rsidR="00EE7D8B" w:rsidRPr="006A72AA">
        <w:rPr>
          <w:lang w:val="en-GB"/>
        </w:rPr>
        <w:t xml:space="preserve"> by Santiago et al. (2022)</w:t>
      </w:r>
      <w:r w:rsidR="00E8291C" w:rsidRPr="006A72AA">
        <w:rPr>
          <w:lang w:val="en-GB"/>
        </w:rPr>
        <w:t xml:space="preserve"> and Henao et al. (2022)</w:t>
      </w:r>
      <w:r w:rsidR="00970425" w:rsidRPr="006A72AA">
        <w:rPr>
          <w:lang w:val="en-GB"/>
        </w:rPr>
        <w:t xml:space="preserve"> (</w:t>
      </w:r>
      <w:r w:rsidR="00B42B2E" w:rsidRPr="006A72AA">
        <w:rPr>
          <w:lang w:val="en-GB"/>
        </w:rPr>
        <w:t>Table 2</w:t>
      </w:r>
      <w:r w:rsidR="00970425" w:rsidRPr="006A72AA">
        <w:rPr>
          <w:lang w:val="en-GB"/>
        </w:rPr>
        <w:t>)</w:t>
      </w:r>
      <w:r w:rsidR="00390812" w:rsidRPr="006A72AA">
        <w:rPr>
          <w:lang w:val="en-GB"/>
        </w:rPr>
        <w:t>. According to the authors, the C200 is suitable to operate with landfill gases, producer gases, natural gas, and others</w:t>
      </w:r>
      <w:r w:rsidR="0004317E" w:rsidRPr="006A72AA">
        <w:rPr>
          <w:lang w:val="en-GB"/>
        </w:rPr>
        <w:t xml:space="preserve">. </w:t>
      </w:r>
      <w:r w:rsidR="00924673" w:rsidRPr="006A72AA">
        <w:rPr>
          <w:lang w:val="en-GB"/>
        </w:rPr>
        <w:t>Although</w:t>
      </w:r>
      <w:r w:rsidR="0004317E" w:rsidRPr="006A72AA">
        <w:rPr>
          <w:lang w:val="en-GB"/>
        </w:rPr>
        <w:t xml:space="preserve"> its maximum nominal power is 200 kW, the simulat</w:t>
      </w:r>
      <w:r w:rsidR="00220F1D" w:rsidRPr="006A72AA">
        <w:rPr>
          <w:lang w:val="en-GB"/>
        </w:rPr>
        <w:t>ion considered</w:t>
      </w:r>
      <w:r w:rsidR="0004317E" w:rsidRPr="006A72AA">
        <w:rPr>
          <w:lang w:val="en-GB"/>
        </w:rPr>
        <w:t xml:space="preserve"> a full decompression, lowering the outlet combustor pressure to 1 bar, to fully evaluate the RDF’s capacity to generate power </w:t>
      </w:r>
      <w:r w:rsidR="00220F1D" w:rsidRPr="006A72AA">
        <w:rPr>
          <w:lang w:val="en-GB"/>
        </w:rPr>
        <w:t xml:space="preserve">regardless of </w:t>
      </w:r>
      <w:r w:rsidR="0004317E" w:rsidRPr="006A72AA">
        <w:rPr>
          <w:lang w:val="en-GB"/>
        </w:rPr>
        <w:t xml:space="preserve">economic </w:t>
      </w:r>
      <w:r w:rsidR="00220F1D" w:rsidRPr="006A72AA">
        <w:rPr>
          <w:lang w:val="en-GB"/>
        </w:rPr>
        <w:t>constraints</w:t>
      </w:r>
      <w:r w:rsidR="0004317E" w:rsidRPr="006A72AA">
        <w:rPr>
          <w:lang w:val="en-GB"/>
        </w:rPr>
        <w:t>.</w:t>
      </w:r>
    </w:p>
    <w:p w14:paraId="451DB4FC" w14:textId="77777777" w:rsidR="00EE5823" w:rsidRPr="006A72AA" w:rsidRDefault="00EE5823" w:rsidP="00EE5823">
      <w:pPr>
        <w:pStyle w:val="CETBodytext"/>
        <w:rPr>
          <w:lang w:val="en-GB"/>
        </w:rPr>
      </w:pPr>
    </w:p>
    <w:p w14:paraId="1FB511B9" w14:textId="77777777" w:rsidR="00EE7D8B" w:rsidRPr="006A72AA" w:rsidRDefault="00EE7D8B" w:rsidP="00EE5823">
      <w:pPr>
        <w:pStyle w:val="CETBodytext"/>
        <w:rPr>
          <w:lang w:val="en-GB"/>
        </w:rPr>
      </w:pPr>
      <w:r w:rsidRPr="006A72AA">
        <w:rPr>
          <w:lang w:val="en-GB"/>
        </w:rPr>
        <w:t xml:space="preserve">The </w:t>
      </w:r>
      <w:r w:rsidR="005C6F61" w:rsidRPr="006A72AA">
        <w:rPr>
          <w:lang w:val="en-GB"/>
        </w:rPr>
        <w:t xml:space="preserve">combustion </w:t>
      </w:r>
      <w:r w:rsidRPr="006A72AA">
        <w:rPr>
          <w:lang w:val="en-GB"/>
        </w:rPr>
        <w:t>chamber</w:t>
      </w:r>
      <w:r w:rsidR="0077060A" w:rsidRPr="006A72AA">
        <w:rPr>
          <w:lang w:val="en-GB"/>
        </w:rPr>
        <w:t xml:space="preserve"> </w:t>
      </w:r>
      <w:r w:rsidRPr="006A72AA">
        <w:rPr>
          <w:lang w:val="en-GB"/>
        </w:rPr>
        <w:t xml:space="preserve">was set to operate </w:t>
      </w:r>
      <w:r w:rsidR="00220F1D" w:rsidRPr="006A72AA">
        <w:rPr>
          <w:lang w:val="en-GB"/>
        </w:rPr>
        <w:t>adiabatically at</w:t>
      </w:r>
      <w:r w:rsidR="0077060A" w:rsidRPr="006A72AA">
        <w:rPr>
          <w:lang w:val="en-GB"/>
        </w:rPr>
        <w:t xml:space="preserve"> </w:t>
      </w:r>
      <w:r w:rsidR="00CF6878" w:rsidRPr="006A72AA">
        <w:rPr>
          <w:lang w:val="en-GB"/>
        </w:rPr>
        <w:t>4</w:t>
      </w:r>
      <w:r w:rsidRPr="006A72AA">
        <w:rPr>
          <w:lang w:val="en-GB"/>
        </w:rPr>
        <w:t xml:space="preserve"> bar</w:t>
      </w:r>
      <w:r w:rsidR="00220F1D" w:rsidRPr="006A72AA">
        <w:rPr>
          <w:lang w:val="en-GB"/>
        </w:rPr>
        <w:t xml:space="preserve"> and</w:t>
      </w:r>
      <w:r w:rsidR="001B77E4" w:rsidRPr="006A72AA">
        <w:rPr>
          <w:lang w:val="en-GB"/>
        </w:rPr>
        <w:t xml:space="preserve"> simulated in a</w:t>
      </w:r>
      <w:r w:rsidR="005C6F61" w:rsidRPr="006A72AA">
        <w:rPr>
          <w:lang w:val="en-GB"/>
        </w:rPr>
        <w:t>n</w:t>
      </w:r>
      <w:r w:rsidR="001B77E4" w:rsidRPr="006A72AA">
        <w:rPr>
          <w:lang w:val="en-GB"/>
        </w:rPr>
        <w:t xml:space="preserve"> “RStoic” reactor</w:t>
      </w:r>
      <w:r w:rsidR="00220F1D" w:rsidRPr="006A72AA">
        <w:rPr>
          <w:lang w:val="en-GB"/>
        </w:rPr>
        <w:t xml:space="preserve">, to which </w:t>
      </w:r>
      <w:r w:rsidR="001B77E4" w:rsidRPr="006A72AA">
        <w:rPr>
          <w:lang w:val="en-GB"/>
        </w:rPr>
        <w:t xml:space="preserve">a second air stream (“AIR-2”) </w:t>
      </w:r>
      <w:r w:rsidR="00220F1D" w:rsidRPr="006A72AA">
        <w:rPr>
          <w:lang w:val="en-GB"/>
        </w:rPr>
        <w:t>is</w:t>
      </w:r>
      <w:r w:rsidR="001B77E4" w:rsidRPr="006A72AA">
        <w:rPr>
          <w:lang w:val="en-GB"/>
        </w:rPr>
        <w:t xml:space="preserve"> fed at </w:t>
      </w:r>
      <w:r w:rsidR="00A67D2B" w:rsidRPr="006A72AA">
        <w:rPr>
          <w:lang w:val="en-GB"/>
        </w:rPr>
        <w:t>81</w:t>
      </w:r>
      <w:r w:rsidR="001B77E4" w:rsidRPr="006A72AA">
        <w:rPr>
          <w:lang w:val="en-GB"/>
        </w:rPr>
        <w:t>0 kg/h</w:t>
      </w:r>
      <w:r w:rsidR="00A24732" w:rsidRPr="006A72AA">
        <w:rPr>
          <w:lang w:val="en-GB"/>
        </w:rPr>
        <w:t xml:space="preserve"> – enough to produce a minimum amount of O</w:t>
      </w:r>
      <w:r w:rsidR="00A24732" w:rsidRPr="006A72AA">
        <w:rPr>
          <w:vertAlign w:val="subscript"/>
          <w:lang w:val="en-GB"/>
        </w:rPr>
        <w:t>2</w:t>
      </w:r>
      <w:r w:rsidR="00A24732" w:rsidRPr="006A72AA">
        <w:rPr>
          <w:lang w:val="en-GB"/>
        </w:rPr>
        <w:t xml:space="preserve"> content in the outlet stream of the combustion chamber</w:t>
      </w:r>
      <w:r w:rsidR="00220F1D" w:rsidRPr="006A72AA">
        <w:rPr>
          <w:lang w:val="en-GB"/>
        </w:rPr>
        <w:t>. The air stream</w:t>
      </w:r>
      <w:r w:rsidR="0004317E" w:rsidRPr="006A72AA">
        <w:rPr>
          <w:lang w:val="en-GB"/>
        </w:rPr>
        <w:t xml:space="preserve"> exchanges heat with the exhaust gas in a heat exchanger set to operate at a minimum temperature approach of 10 </w:t>
      </w:r>
      <w:r w:rsidR="0004317E" w:rsidRPr="006A72AA">
        <w:rPr>
          <w:rFonts w:ascii="Calibri" w:hAnsi="Calibri" w:cs="Calibri"/>
          <w:lang w:val="en-GB"/>
        </w:rPr>
        <w:t>°</w:t>
      </w:r>
      <w:r w:rsidR="0004317E" w:rsidRPr="006A72AA">
        <w:rPr>
          <w:lang w:val="en-GB"/>
        </w:rPr>
        <w:t>C</w:t>
      </w:r>
      <w:r w:rsidR="001B77E4" w:rsidRPr="006A72AA">
        <w:rPr>
          <w:lang w:val="en-GB"/>
        </w:rPr>
        <w:t>.</w:t>
      </w:r>
    </w:p>
    <w:p w14:paraId="0075A873" w14:textId="77777777" w:rsidR="00EE5823" w:rsidRPr="006A72AA" w:rsidRDefault="00EE5823" w:rsidP="00EE5823">
      <w:pPr>
        <w:pStyle w:val="CETBodytext"/>
        <w:rPr>
          <w:lang w:val="en-GB"/>
        </w:rPr>
      </w:pPr>
    </w:p>
    <w:p w14:paraId="3CCBE6C5" w14:textId="5AA611B6" w:rsidR="00CF6878" w:rsidRPr="004D3F78" w:rsidRDefault="00970425" w:rsidP="00EE5823">
      <w:pPr>
        <w:pStyle w:val="CETBodytext"/>
        <w:rPr>
          <w:lang w:val="en-GB"/>
        </w:rPr>
      </w:pPr>
      <w:r w:rsidRPr="006A72AA">
        <w:rPr>
          <w:lang w:val="en-GB"/>
        </w:rPr>
        <w:t>The energy generation efficiency (</w:t>
      </w:r>
      <m:oMath>
        <m:r>
          <w:rPr>
            <w:rFonts w:ascii="Cambria Math" w:hAnsi="Cambria Math" w:cs="Arial"/>
            <w:szCs w:val="18"/>
          </w:rPr>
          <m:t>η</m:t>
        </m:r>
      </m:oMath>
      <w:r w:rsidRPr="006A72AA">
        <w:rPr>
          <w:szCs w:val="18"/>
        </w:rPr>
        <w:t>)</w:t>
      </w:r>
      <w:r w:rsidRPr="006A72AA">
        <w:rPr>
          <w:lang w:val="en-GB"/>
        </w:rPr>
        <w:t xml:space="preserve"> of the power plant was calculated by equation 4 according to G</w:t>
      </w:r>
      <w:r w:rsidR="00CF6878" w:rsidRPr="006A72AA">
        <w:rPr>
          <w:lang w:val="en-GB"/>
        </w:rPr>
        <w:t>aleno</w:t>
      </w:r>
      <w:r w:rsidR="005C6F61" w:rsidRPr="006A72AA">
        <w:rPr>
          <w:lang w:val="en-GB"/>
        </w:rPr>
        <w:t xml:space="preserve"> et al. </w:t>
      </w:r>
      <w:r w:rsidR="00CF6878" w:rsidRPr="006A72AA">
        <w:rPr>
          <w:lang w:val="en-GB"/>
        </w:rPr>
        <w:t>(2011)</w:t>
      </w:r>
      <w:r w:rsidRPr="006A72AA">
        <w:rPr>
          <w:lang w:val="en-GB"/>
        </w:rPr>
        <w:t>.</w:t>
      </w:r>
      <w:r w:rsidR="00924673" w:rsidRPr="006A72AA">
        <w:rPr>
          <w:lang w:val="en-GB"/>
        </w:rPr>
        <w:t xml:space="preserve"> </w:t>
      </w:r>
      <w:r w:rsidRPr="006A72AA">
        <w:rPr>
          <w:lang w:val="en-GB"/>
        </w:rPr>
        <w:t xml:space="preserve">The efficiency </w:t>
      </w:r>
      <w:r w:rsidR="00CF6878" w:rsidRPr="006A72AA">
        <w:rPr>
          <w:lang w:val="en-GB"/>
        </w:rPr>
        <w:t>account</w:t>
      </w:r>
      <w:r w:rsidRPr="006A72AA">
        <w:rPr>
          <w:lang w:val="en-GB"/>
        </w:rPr>
        <w:t>s</w:t>
      </w:r>
      <w:r w:rsidR="00CF6878" w:rsidRPr="006A72AA">
        <w:rPr>
          <w:lang w:val="en-GB"/>
        </w:rPr>
        <w:t xml:space="preserve"> for the</w:t>
      </w:r>
      <w:r w:rsidR="00CF6878" w:rsidRPr="004D3F78">
        <w:rPr>
          <w:lang w:val="en-GB"/>
        </w:rPr>
        <w:t xml:space="preserve"> difference between the power generated </w:t>
      </w:r>
      <w:r w:rsidRPr="004D3F78">
        <w:rPr>
          <w:lang w:val="en-GB"/>
        </w:rPr>
        <w:t>by</w:t>
      </w:r>
      <w:r w:rsidR="00CF6878" w:rsidRPr="004D3F78">
        <w:rPr>
          <w:lang w:val="en-GB"/>
        </w:rPr>
        <w:t xml:space="preserve"> the turbine (kW) minus the power consumed at the compressors (kW), divided by the mass flowrate of RDF (kg/s) and its LHV (kJ/kg). </w:t>
      </w:r>
      <w:r w:rsidRPr="004D3F78">
        <w:rPr>
          <w:lang w:val="en-GB"/>
        </w:rPr>
        <w:t>In addition</w:t>
      </w:r>
      <w:r w:rsidR="00CF6878" w:rsidRPr="004D3F78">
        <w:rPr>
          <w:lang w:val="en-GB"/>
        </w:rPr>
        <w:t xml:space="preserve">, </w:t>
      </w:r>
      <w:r w:rsidRPr="004D3F78">
        <w:rPr>
          <w:lang w:val="en-GB"/>
        </w:rPr>
        <w:t xml:space="preserve">the cold gas efficiency (“CGE”) was calculated as </w:t>
      </w:r>
      <w:r w:rsidR="00CF6878" w:rsidRPr="004D3F78">
        <w:rPr>
          <w:lang w:val="en-GB"/>
        </w:rPr>
        <w:t xml:space="preserve">the ratio between the chemical energy </w:t>
      </w:r>
      <w:r w:rsidRPr="004D3F78">
        <w:rPr>
          <w:lang w:val="en-GB"/>
        </w:rPr>
        <w:t>of</w:t>
      </w:r>
      <w:r w:rsidR="00CF6878" w:rsidRPr="004D3F78">
        <w:rPr>
          <w:lang w:val="en-GB"/>
        </w:rPr>
        <w:t xml:space="preserve"> syngas and the chemical energy </w:t>
      </w:r>
      <w:r w:rsidR="005C6F61" w:rsidRPr="004D3F78">
        <w:rPr>
          <w:lang w:val="en-GB"/>
        </w:rPr>
        <w:t>of</w:t>
      </w:r>
      <w:r w:rsidR="00CF6878" w:rsidRPr="004D3F78">
        <w:rPr>
          <w:lang w:val="en-GB"/>
        </w:rPr>
        <w:t xml:space="preserve"> RDF </w:t>
      </w:r>
      <w:r w:rsidRPr="004D3F78">
        <w:rPr>
          <w:lang w:val="en-GB"/>
        </w:rPr>
        <w:t>(</w:t>
      </w:r>
      <w:r w:rsidR="00CF6878" w:rsidRPr="004D3F78">
        <w:rPr>
          <w:lang w:val="en-GB"/>
        </w:rPr>
        <w:t>equation 5</w:t>
      </w:r>
      <w:r w:rsidRPr="004D3F78">
        <w:rPr>
          <w:lang w:val="en-GB"/>
        </w:rPr>
        <w:t>)</w:t>
      </w:r>
      <w:r w:rsidR="00CF6878" w:rsidRPr="004D3F78">
        <w:rPr>
          <w:lang w:val="en-GB"/>
        </w:rPr>
        <w:t xml:space="preserve"> (</w:t>
      </w:r>
      <w:r w:rsidR="00990F27">
        <w:rPr>
          <w:lang w:val="en-GB"/>
        </w:rPr>
        <w:t>Salman and Omer</w:t>
      </w:r>
      <w:r w:rsidR="00CF6878" w:rsidRPr="004D3F78">
        <w:rPr>
          <w:lang w:val="en-GB"/>
        </w:rPr>
        <w:t>, 20</w:t>
      </w:r>
      <w:r w:rsidR="00990F27">
        <w:rPr>
          <w:lang w:val="en-GB"/>
        </w:rPr>
        <w:t>20</w:t>
      </w:r>
      <w:r w:rsidR="00CF6878" w:rsidRPr="004D3F78">
        <w:rPr>
          <w:lang w:val="en-GB"/>
        </w:rPr>
        <w:t>).</w:t>
      </w:r>
    </w:p>
    <w:p w14:paraId="7560E6BC" w14:textId="77777777" w:rsidR="00CF6878" w:rsidRPr="004D3F78" w:rsidRDefault="00CF6878" w:rsidP="00CF6878">
      <w:pPr>
        <w:pStyle w:val="CETBodytext"/>
        <w:rPr>
          <w:lang w:val="en-GB"/>
        </w:rPr>
      </w:pPr>
    </w:p>
    <w:p w14:paraId="2180B76E" w14:textId="77777777" w:rsidR="00B42B2E" w:rsidRPr="004D3F78" w:rsidRDefault="00B42B2E" w:rsidP="00EE7D8B">
      <w:pPr>
        <w:pStyle w:val="CETBodytext"/>
        <w:ind w:firstLine="567"/>
        <w:rPr>
          <w:lang w:val="en-GB"/>
        </w:rPr>
      </w:pPr>
    </w:p>
    <w:p w14:paraId="6209B79F" w14:textId="77777777" w:rsidR="00B42B2E" w:rsidRPr="004D3F78" w:rsidRDefault="00B42B2E" w:rsidP="00D57050">
      <w:pPr>
        <w:ind w:firstLine="360"/>
        <w:rPr>
          <w:rFonts w:cs="Arial"/>
          <w:szCs w:val="18"/>
        </w:rPr>
      </w:pPr>
      <w:r w:rsidRPr="004D3F78">
        <w:t xml:space="preserve">Table 2: </w:t>
      </w:r>
      <w:r w:rsidR="00970425" w:rsidRPr="004D3F78">
        <w:t xml:space="preserve">Techincal parameters of the </w:t>
      </w:r>
      <w:r w:rsidR="00E8291C" w:rsidRPr="004D3F78">
        <w:t>C200 m</w:t>
      </w:r>
      <w:r w:rsidRPr="004D3F78">
        <w:t xml:space="preserve">icroturbine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51"/>
        <w:gridCol w:w="1691"/>
      </w:tblGrid>
      <w:tr w:rsidR="00B42B2E" w:rsidRPr="004D3F78" w14:paraId="4C4C3379" w14:textId="77777777" w:rsidTr="00083DCA">
        <w:tc>
          <w:tcPr>
            <w:tcW w:w="3551" w:type="dxa"/>
            <w:tcBorders>
              <w:top w:val="single" w:sz="12" w:space="0" w:color="008000"/>
              <w:bottom w:val="single" w:sz="6" w:space="0" w:color="008000"/>
            </w:tcBorders>
            <w:shd w:val="clear" w:color="auto" w:fill="FFFFFF"/>
          </w:tcPr>
          <w:p w14:paraId="29D6459A" w14:textId="77777777" w:rsidR="00B42B2E" w:rsidRPr="004D3F78" w:rsidRDefault="00B42B2E" w:rsidP="002B6EB7">
            <w:pPr>
              <w:pStyle w:val="CETBodytext"/>
              <w:jc w:val="center"/>
              <w:rPr>
                <w:lang w:val="en-GB"/>
              </w:rPr>
            </w:pPr>
            <w:r w:rsidRPr="004D3F78">
              <w:rPr>
                <w:lang w:val="en-GB"/>
              </w:rPr>
              <w:t>Parameter</w:t>
            </w:r>
          </w:p>
        </w:tc>
        <w:tc>
          <w:tcPr>
            <w:tcW w:w="1691" w:type="dxa"/>
            <w:tcBorders>
              <w:top w:val="single" w:sz="12" w:space="0" w:color="008000"/>
              <w:bottom w:val="single" w:sz="6" w:space="0" w:color="008000"/>
            </w:tcBorders>
            <w:shd w:val="clear" w:color="auto" w:fill="FFFFFF"/>
          </w:tcPr>
          <w:p w14:paraId="1C38DB92" w14:textId="77777777" w:rsidR="00B42B2E" w:rsidRPr="004D3F78" w:rsidRDefault="00B42B2E" w:rsidP="002B6EB7">
            <w:pPr>
              <w:pStyle w:val="CETBodytext"/>
              <w:jc w:val="center"/>
              <w:rPr>
                <w:lang w:val="en-GB"/>
              </w:rPr>
            </w:pPr>
            <w:r w:rsidRPr="004D3F78">
              <w:rPr>
                <w:lang w:val="en-GB"/>
              </w:rPr>
              <w:t>Value</w:t>
            </w:r>
            <w:r w:rsidR="00970425" w:rsidRPr="004D3F78">
              <w:rPr>
                <w:vertAlign w:val="superscript"/>
                <w:lang w:val="en-GB"/>
              </w:rPr>
              <w:t>a</w:t>
            </w:r>
          </w:p>
        </w:tc>
      </w:tr>
      <w:tr w:rsidR="00B42B2E" w:rsidRPr="004D3F78" w14:paraId="03B3C85F" w14:textId="77777777" w:rsidTr="00083DCA">
        <w:tc>
          <w:tcPr>
            <w:tcW w:w="3551" w:type="dxa"/>
            <w:shd w:val="clear" w:color="auto" w:fill="FFFFFF"/>
          </w:tcPr>
          <w:p w14:paraId="225F9515" w14:textId="77777777" w:rsidR="00B42B2E" w:rsidRPr="004D3F78" w:rsidRDefault="00B42B2E" w:rsidP="002B6EB7">
            <w:pPr>
              <w:pStyle w:val="CETBodytext"/>
              <w:ind w:right="-1"/>
              <w:jc w:val="center"/>
              <w:rPr>
                <w:rFonts w:cs="Arial"/>
                <w:szCs w:val="18"/>
                <w:lang w:val="en-GB"/>
              </w:rPr>
            </w:pPr>
            <w:r w:rsidRPr="004D3F78">
              <w:rPr>
                <w:rFonts w:cs="Arial"/>
                <w:szCs w:val="18"/>
                <w:lang w:val="en-GB"/>
              </w:rPr>
              <w:t>Compression Ratio</w:t>
            </w:r>
          </w:p>
        </w:tc>
        <w:tc>
          <w:tcPr>
            <w:tcW w:w="1691" w:type="dxa"/>
            <w:shd w:val="clear" w:color="auto" w:fill="FFFFFF"/>
          </w:tcPr>
          <w:p w14:paraId="47E6FE3A" w14:textId="77777777" w:rsidR="00B42B2E" w:rsidRPr="004D3F78" w:rsidRDefault="00E96AAF" w:rsidP="002B6EB7">
            <w:pPr>
              <w:pStyle w:val="CETBodytext"/>
              <w:ind w:right="-1"/>
              <w:jc w:val="center"/>
              <w:rPr>
                <w:szCs w:val="18"/>
              </w:rPr>
            </w:pPr>
            <w:r w:rsidRPr="004D3F78">
              <w:rPr>
                <w:szCs w:val="18"/>
              </w:rPr>
              <w:t>4</w:t>
            </w:r>
            <w:r w:rsidR="008E6DDD" w:rsidRPr="004D3F78">
              <w:rPr>
                <w:szCs w:val="18"/>
              </w:rPr>
              <w:t>.0</w:t>
            </w:r>
          </w:p>
        </w:tc>
      </w:tr>
      <w:tr w:rsidR="00E96AAF" w:rsidRPr="004D3F78" w14:paraId="07F5A10A" w14:textId="77777777" w:rsidTr="00083DCA">
        <w:tc>
          <w:tcPr>
            <w:tcW w:w="3551" w:type="dxa"/>
            <w:shd w:val="clear" w:color="auto" w:fill="FFFFFF"/>
          </w:tcPr>
          <w:p w14:paraId="231A9B10" w14:textId="77777777" w:rsidR="00E96AAF" w:rsidRPr="004D3F78" w:rsidRDefault="00E96AAF" w:rsidP="00E96AAF">
            <w:pPr>
              <w:pStyle w:val="CETBodytext"/>
              <w:ind w:right="-1"/>
              <w:jc w:val="center"/>
              <w:rPr>
                <w:rFonts w:cs="Arial"/>
                <w:szCs w:val="18"/>
                <w:lang w:val="en-GB"/>
              </w:rPr>
            </w:pPr>
            <w:r w:rsidRPr="004D3F78">
              <w:rPr>
                <w:lang w:val="en-GB"/>
              </w:rPr>
              <w:t>Compressor efficiency</w:t>
            </w:r>
          </w:p>
        </w:tc>
        <w:tc>
          <w:tcPr>
            <w:tcW w:w="1691" w:type="dxa"/>
            <w:shd w:val="clear" w:color="auto" w:fill="FFFFFF"/>
          </w:tcPr>
          <w:p w14:paraId="4EBB7147" w14:textId="77777777" w:rsidR="00E96AAF" w:rsidRPr="004D3F78" w:rsidRDefault="00E96AAF" w:rsidP="00E96AAF">
            <w:pPr>
              <w:pStyle w:val="CETBodytext"/>
              <w:ind w:right="-1"/>
              <w:jc w:val="center"/>
              <w:rPr>
                <w:szCs w:val="18"/>
              </w:rPr>
            </w:pPr>
            <w:r w:rsidRPr="004D3F78">
              <w:rPr>
                <w:lang w:val="en-GB"/>
              </w:rPr>
              <w:t>79.0%</w:t>
            </w:r>
          </w:p>
        </w:tc>
      </w:tr>
      <w:tr w:rsidR="00E96AAF" w:rsidRPr="004D3F78" w14:paraId="07EF2D65" w14:textId="77777777" w:rsidTr="00083DCA">
        <w:tc>
          <w:tcPr>
            <w:tcW w:w="3551" w:type="dxa"/>
            <w:shd w:val="clear" w:color="auto" w:fill="FFFFFF"/>
          </w:tcPr>
          <w:p w14:paraId="752FB3DA" w14:textId="77777777" w:rsidR="00E96AAF" w:rsidRPr="004D3F78" w:rsidRDefault="00E96AAF" w:rsidP="00E96AAF">
            <w:pPr>
              <w:pStyle w:val="CETBodytext"/>
              <w:ind w:right="-1"/>
              <w:jc w:val="center"/>
              <w:rPr>
                <w:lang w:val="en-GB"/>
              </w:rPr>
            </w:pPr>
            <w:r w:rsidRPr="004D3F78">
              <w:rPr>
                <w:rFonts w:cs="Arial"/>
                <w:szCs w:val="18"/>
                <w:lang w:val="en-GB"/>
              </w:rPr>
              <w:t>Turbine efficiency</w:t>
            </w:r>
          </w:p>
        </w:tc>
        <w:tc>
          <w:tcPr>
            <w:tcW w:w="1691" w:type="dxa"/>
            <w:shd w:val="clear" w:color="auto" w:fill="FFFFFF"/>
          </w:tcPr>
          <w:p w14:paraId="4213AD61" w14:textId="77777777" w:rsidR="00E96AAF" w:rsidRPr="004D3F78" w:rsidRDefault="00E96AAF" w:rsidP="00E96AAF">
            <w:pPr>
              <w:pStyle w:val="CETBodytext"/>
              <w:ind w:right="-1"/>
              <w:jc w:val="center"/>
              <w:rPr>
                <w:lang w:val="en-GB"/>
              </w:rPr>
            </w:pPr>
            <w:r w:rsidRPr="004D3F78">
              <w:rPr>
                <w:szCs w:val="18"/>
              </w:rPr>
              <w:t>82.5%</w:t>
            </w:r>
          </w:p>
        </w:tc>
      </w:tr>
      <w:tr w:rsidR="00E96AAF" w:rsidRPr="004D3F78" w14:paraId="52D7A053" w14:textId="77777777" w:rsidTr="00083DCA">
        <w:tc>
          <w:tcPr>
            <w:tcW w:w="3551" w:type="dxa"/>
            <w:shd w:val="clear" w:color="auto" w:fill="FFFFFF"/>
          </w:tcPr>
          <w:p w14:paraId="7DAD3648" w14:textId="77777777" w:rsidR="00E96AAF" w:rsidRPr="004D3F78" w:rsidRDefault="00E96AAF" w:rsidP="00E96AAF">
            <w:pPr>
              <w:pStyle w:val="CETBodytext"/>
              <w:ind w:right="-1"/>
              <w:jc w:val="center"/>
              <w:rPr>
                <w:rFonts w:cs="Arial"/>
                <w:szCs w:val="18"/>
                <w:lang w:val="en-GB"/>
              </w:rPr>
            </w:pPr>
            <w:r w:rsidRPr="004D3F78">
              <w:rPr>
                <w:rFonts w:cs="Arial"/>
                <w:szCs w:val="18"/>
                <w:lang w:val="en-GB"/>
              </w:rPr>
              <w:t>Generator efficiency</w:t>
            </w:r>
          </w:p>
        </w:tc>
        <w:tc>
          <w:tcPr>
            <w:tcW w:w="1691" w:type="dxa"/>
            <w:shd w:val="clear" w:color="auto" w:fill="FFFFFF"/>
          </w:tcPr>
          <w:p w14:paraId="79086A01" w14:textId="77777777" w:rsidR="00E96AAF" w:rsidRPr="004D3F78" w:rsidRDefault="00E96AAF" w:rsidP="00E96AAF">
            <w:pPr>
              <w:pStyle w:val="CETBodytext"/>
              <w:ind w:right="-1"/>
              <w:jc w:val="center"/>
              <w:rPr>
                <w:szCs w:val="18"/>
              </w:rPr>
            </w:pPr>
            <w:r w:rsidRPr="004D3F78">
              <w:rPr>
                <w:szCs w:val="18"/>
              </w:rPr>
              <w:t>93.8%</w:t>
            </w:r>
          </w:p>
        </w:tc>
      </w:tr>
    </w:tbl>
    <w:p w14:paraId="352E62A6" w14:textId="77777777" w:rsidR="00B42B2E" w:rsidRPr="00970425" w:rsidRDefault="00970425" w:rsidP="00970425">
      <w:pPr>
        <w:spacing w:line="240" w:lineRule="auto"/>
        <w:rPr>
          <w:rFonts w:ascii="Times New Roman" w:hAnsi="Times New Roman"/>
          <w:sz w:val="20"/>
        </w:rPr>
      </w:pPr>
      <w:r w:rsidRPr="004D3F78">
        <w:rPr>
          <w:rFonts w:ascii="Times New Roman" w:hAnsi="Times New Roman"/>
          <w:sz w:val="20"/>
          <w:vertAlign w:val="superscript"/>
        </w:rPr>
        <w:t>a</w:t>
      </w:r>
      <w:r w:rsidRPr="004D3F78">
        <w:rPr>
          <w:rFonts w:ascii="Times New Roman" w:hAnsi="Times New Roman"/>
          <w:sz w:val="20"/>
        </w:rPr>
        <w:t>obtained from Santiago et al. (2022) and Henao et al. (2022).</w:t>
      </w:r>
    </w:p>
    <w:p w14:paraId="4F8B539E" w14:textId="77777777" w:rsidR="00B4111F" w:rsidRDefault="00B4111F" w:rsidP="00B4111F">
      <w:pPr>
        <w:pStyle w:val="CETBodytext"/>
        <w:ind w:firstLine="284"/>
        <w:rPr>
          <w:lang w:val="en-GB"/>
        </w:rPr>
      </w:pPr>
    </w:p>
    <w:p w14:paraId="2F13C205" w14:textId="5D8D8162" w:rsidR="00B4111F" w:rsidRPr="006A72AA" w:rsidRDefault="00B4111F" w:rsidP="00B4111F">
      <w:pPr>
        <w:pStyle w:val="CETBodytext"/>
        <w:rPr>
          <w:szCs w:val="18"/>
        </w:rPr>
      </w:pPr>
      <m:oMath>
        <m:r>
          <w:rPr>
            <w:rFonts w:ascii="Cambria Math" w:hAnsi="Cambria Math" w:cs="Arial"/>
            <w:szCs w:val="18"/>
          </w:rPr>
          <m:t>η (%)=</m:t>
        </m:r>
        <m:f>
          <m:fPr>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W</m:t>
                </m:r>
              </m:e>
              <m:sub>
                <m:r>
                  <w:rPr>
                    <w:rFonts w:ascii="Cambria Math" w:hAnsi="Cambria Math" w:cs="Arial"/>
                    <w:szCs w:val="18"/>
                  </w:rPr>
                  <m:t>turbine</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W</m:t>
                </m:r>
              </m:e>
              <m:sub>
                <m:r>
                  <w:rPr>
                    <w:rFonts w:ascii="Cambria Math" w:hAnsi="Cambria Math" w:cs="Arial"/>
                    <w:szCs w:val="18"/>
                  </w:rPr>
                  <m:t>compressors</m:t>
                </m:r>
              </m:sub>
            </m:sSub>
          </m:num>
          <m:den>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RDF</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LHV</m:t>
                </m:r>
              </m:e>
              <m:sub>
                <m:r>
                  <w:rPr>
                    <w:rFonts w:ascii="Cambria Math" w:hAnsi="Cambria Math" w:cs="Arial"/>
                    <w:szCs w:val="18"/>
                  </w:rPr>
                  <m:t>RDF</m:t>
                </m:r>
              </m:sub>
            </m:sSub>
          </m:den>
        </m:f>
      </m:oMath>
      <w:r w:rsidRPr="006A72AA">
        <w:rPr>
          <w:szCs w:val="18"/>
        </w:rPr>
        <w:t xml:space="preserve">                                                                                                                               (4)</w:t>
      </w:r>
    </w:p>
    <w:p w14:paraId="240709B1" w14:textId="77777777" w:rsidR="00D57050" w:rsidRPr="006A72AA" w:rsidRDefault="00D57050" w:rsidP="00B4111F">
      <w:pPr>
        <w:pStyle w:val="CETBodytext"/>
        <w:rPr>
          <w:szCs w:val="18"/>
        </w:rPr>
      </w:pPr>
    </w:p>
    <w:p w14:paraId="3D0B96E7" w14:textId="43EC4867" w:rsidR="00D57050" w:rsidRDefault="00D57050" w:rsidP="00B4111F">
      <w:pPr>
        <w:pStyle w:val="CETBodytext"/>
        <w:rPr>
          <w:rFonts w:cs="Arial"/>
          <w:szCs w:val="18"/>
        </w:rPr>
      </w:pPr>
      <m:oMath>
        <m:r>
          <w:rPr>
            <w:rFonts w:ascii="Cambria Math" w:hAnsi="Cambria Math" w:cs="Arial"/>
            <w:szCs w:val="18"/>
          </w:rPr>
          <m:t xml:space="preserve">CGE </m:t>
        </m:r>
        <m:d>
          <m:dPr>
            <m:ctrlPr>
              <w:rPr>
                <w:rFonts w:ascii="Cambria Math" w:hAnsi="Cambria Math" w:cs="Arial"/>
                <w:i/>
                <w:szCs w:val="18"/>
              </w:rPr>
            </m:ctrlPr>
          </m:dPr>
          <m:e>
            <m:r>
              <w:rPr>
                <w:rFonts w:ascii="Cambria Math" w:hAnsi="Cambria Math" w:cs="Arial"/>
                <w:szCs w:val="18"/>
              </w:rPr>
              <m:t>%</m:t>
            </m:r>
          </m:e>
        </m:d>
        <m:r>
          <w:rPr>
            <w:rFonts w:ascii="Cambria Math" w:hAnsi="Cambria Math" w:cs="Arial"/>
            <w:szCs w:val="18"/>
          </w:rPr>
          <m:t>=</m:t>
        </m:r>
        <m:d>
          <m:dPr>
            <m:begChr m:val="["/>
            <m:endChr m:val="]"/>
            <m:ctrlPr>
              <w:rPr>
                <w:rFonts w:ascii="Cambria Math" w:hAnsi="Cambria Math" w:cs="Arial"/>
                <w:i/>
                <w:szCs w:val="18"/>
              </w:rPr>
            </m:ctrlPr>
          </m:dPr>
          <m:e>
            <m:f>
              <m:fPr>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LHV</m:t>
                    </m:r>
                  </m:e>
                  <m:sub>
                    <m:r>
                      <w:rPr>
                        <w:rFonts w:ascii="Cambria Math" w:hAnsi="Cambria Math" w:cs="Arial"/>
                        <w:szCs w:val="18"/>
                      </w:rPr>
                      <m:t>syngas</m:t>
                    </m:r>
                  </m:sub>
                </m:sSub>
              </m:num>
              <m:den>
                <m:sSub>
                  <m:sSubPr>
                    <m:ctrlPr>
                      <w:rPr>
                        <w:rFonts w:ascii="Cambria Math" w:hAnsi="Cambria Math" w:cs="Arial"/>
                        <w:i/>
                        <w:szCs w:val="18"/>
                      </w:rPr>
                    </m:ctrlPr>
                  </m:sSubPr>
                  <m:e>
                    <m:r>
                      <w:rPr>
                        <w:rFonts w:ascii="Cambria Math" w:hAnsi="Cambria Math" w:cs="Arial"/>
                        <w:szCs w:val="18"/>
                      </w:rPr>
                      <m:t>LHV</m:t>
                    </m:r>
                  </m:e>
                  <m:sub>
                    <m:r>
                      <w:rPr>
                        <w:rFonts w:ascii="Cambria Math" w:hAnsi="Cambria Math" w:cs="Arial"/>
                        <w:szCs w:val="18"/>
                      </w:rPr>
                      <m:t>RDF</m:t>
                    </m:r>
                  </m:sub>
                </m:sSub>
              </m:den>
            </m:f>
          </m:e>
        </m:d>
        <m:r>
          <w:rPr>
            <w:rFonts w:ascii="Cambria Math" w:hAnsi="Cambria Math" w:cs="Arial"/>
            <w:szCs w:val="18"/>
          </w:rPr>
          <m:t>×100</m:t>
        </m:r>
      </m:oMath>
      <w:r w:rsidRPr="006A72AA">
        <w:rPr>
          <w:rFonts w:cs="Arial"/>
          <w:szCs w:val="18"/>
        </w:rPr>
        <w:t xml:space="preserve">                                                                                                                             (5)</w:t>
      </w:r>
    </w:p>
    <w:p w14:paraId="00A90053" w14:textId="77777777" w:rsidR="00FB1AAA" w:rsidRPr="00D57050" w:rsidRDefault="00FB1AAA" w:rsidP="00B4111F">
      <w:pPr>
        <w:pStyle w:val="CETBodytext"/>
        <w:rPr>
          <w:rFonts w:cs="Arial"/>
          <w:szCs w:val="18"/>
        </w:rPr>
      </w:pPr>
    </w:p>
    <w:p w14:paraId="6E7E32E9" w14:textId="77777777" w:rsidR="00FB1AAA" w:rsidRDefault="00FB1AAA" w:rsidP="00FB1AAA">
      <w:pPr>
        <w:pStyle w:val="CETBodytext"/>
        <w:rPr>
          <w:rStyle w:val="CETCaptionCarattere"/>
          <w:rFonts w:ascii="Times New Roman" w:hAnsi="Times New Roman"/>
          <w:i w:val="0"/>
          <w:noProof/>
          <w:sz w:val="24"/>
          <w:szCs w:val="24"/>
          <w:lang w:val="en-US"/>
        </w:rPr>
      </w:pPr>
    </w:p>
    <w:p w14:paraId="7A740EC7" w14:textId="77777777" w:rsidR="00AD4EE6" w:rsidRPr="00FB1AAA" w:rsidRDefault="0004317E" w:rsidP="00FB1AAA">
      <w:pPr>
        <w:pStyle w:val="CETBodytext"/>
        <w:rPr>
          <w:rStyle w:val="CETCaptionCarattere"/>
          <w:rFonts w:ascii="Times New Roman" w:hAnsi="Times New Roman"/>
          <w:i w:val="0"/>
          <w:noProof/>
          <w:sz w:val="24"/>
          <w:szCs w:val="24"/>
          <w:lang w:val="en-US"/>
        </w:rPr>
      </w:pPr>
      <w:r>
        <w:rPr>
          <w:rFonts w:ascii="Times New Roman" w:hAnsi="Times New Roman"/>
          <w:noProof/>
          <w:sz w:val="24"/>
          <w:szCs w:val="24"/>
          <w:lang w:val="pt-BR" w:eastAsia="pt-BR"/>
        </w:rPr>
        <w:drawing>
          <wp:inline distT="0" distB="0" distL="0" distR="0" wp14:anchorId="23640395" wp14:editId="3B863C48">
            <wp:extent cx="5579745" cy="1990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stretch>
                      <a:fillRect/>
                    </a:stretch>
                  </pic:blipFill>
                  <pic:spPr>
                    <a:xfrm>
                      <a:off x="0" y="0"/>
                      <a:ext cx="5579745" cy="1990725"/>
                    </a:xfrm>
                    <a:prstGeom prst="rect">
                      <a:avLst/>
                    </a:prstGeom>
                  </pic:spPr>
                </pic:pic>
              </a:graphicData>
            </a:graphic>
          </wp:inline>
        </w:drawing>
      </w:r>
    </w:p>
    <w:p w14:paraId="1155F85F" w14:textId="77777777" w:rsidR="006A72AA" w:rsidRDefault="006A72AA" w:rsidP="0058089D">
      <w:pPr>
        <w:rPr>
          <w:rStyle w:val="CETCaptionCarattere"/>
        </w:rPr>
      </w:pPr>
    </w:p>
    <w:p w14:paraId="5167D084" w14:textId="2A260CDC" w:rsidR="00EE7D8B" w:rsidRDefault="00EE7D8B" w:rsidP="0058089D">
      <w:pPr>
        <w:rPr>
          <w:rStyle w:val="CETCaptionCarattere"/>
        </w:rPr>
      </w:pPr>
      <w:r w:rsidRPr="00BD077D">
        <w:rPr>
          <w:rStyle w:val="CETCaptionCarattere"/>
        </w:rPr>
        <w:t xml:space="preserve">Figure 1: </w:t>
      </w:r>
      <w:r w:rsidRPr="006A72AA">
        <w:rPr>
          <w:rStyle w:val="CETCaptionCarattere"/>
        </w:rPr>
        <w:t>Power plant simulated in Aspen</w:t>
      </w:r>
      <w:r w:rsidR="00924673" w:rsidRPr="006A72AA">
        <w:rPr>
          <w:rStyle w:val="CETCaptionCarattere"/>
        </w:rPr>
        <w:t xml:space="preserve"> </w:t>
      </w:r>
      <w:r w:rsidRPr="006A72AA">
        <w:rPr>
          <w:rStyle w:val="CETCaptionCarattere"/>
        </w:rPr>
        <w:t>Plus v8.6.</w:t>
      </w:r>
    </w:p>
    <w:p w14:paraId="16B74B45" w14:textId="77777777" w:rsidR="00390812" w:rsidRDefault="00390812" w:rsidP="0058089D">
      <w:pPr>
        <w:pStyle w:val="CETBodytext"/>
        <w:rPr>
          <w:lang w:val="en-GB"/>
        </w:rPr>
      </w:pPr>
    </w:p>
    <w:p w14:paraId="10CF5E73" w14:textId="77777777" w:rsidR="00EE7D8B" w:rsidRPr="00390812" w:rsidRDefault="00EE7D8B" w:rsidP="00390812">
      <w:pPr>
        <w:pStyle w:val="CETHeading1"/>
        <w:rPr>
          <w:lang w:val="en-GB"/>
        </w:rPr>
      </w:pPr>
      <w:r>
        <w:rPr>
          <w:lang w:val="en-GB"/>
        </w:rPr>
        <w:lastRenderedPageBreak/>
        <w:t>Resu</w:t>
      </w:r>
      <w:r w:rsidRPr="00390812">
        <w:rPr>
          <w:lang w:val="en-GB"/>
        </w:rPr>
        <w:t>lts</w:t>
      </w:r>
    </w:p>
    <w:p w14:paraId="7E672715" w14:textId="591741C0" w:rsidR="00572361" w:rsidRPr="006A72AA" w:rsidRDefault="00301B55" w:rsidP="00EE5823">
      <w:pPr>
        <w:pStyle w:val="CETBodytext"/>
        <w:rPr>
          <w:lang w:val="en-GB"/>
        </w:rPr>
      </w:pPr>
      <w:r w:rsidRPr="006A72AA">
        <w:rPr>
          <w:lang w:val="en-GB"/>
        </w:rPr>
        <w:t xml:space="preserve">To set the gasification temperature, we assessed its effect on </w:t>
      </w:r>
      <w:r w:rsidR="00970425" w:rsidRPr="006A72AA">
        <w:rPr>
          <w:lang w:val="en-GB"/>
        </w:rPr>
        <w:t xml:space="preserve">both </w:t>
      </w:r>
      <w:r w:rsidRPr="006A72AA">
        <w:rPr>
          <w:lang w:val="en-GB"/>
        </w:rPr>
        <w:t>syngas composition and LHV (</w:t>
      </w:r>
      <w:r w:rsidR="00572361" w:rsidRPr="006A72AA">
        <w:rPr>
          <w:lang w:val="en-GB"/>
        </w:rPr>
        <w:t>Figure 2</w:t>
      </w:r>
      <w:r w:rsidRPr="006A72AA">
        <w:rPr>
          <w:lang w:val="en-GB"/>
        </w:rPr>
        <w:t xml:space="preserve">). </w:t>
      </w:r>
      <w:r w:rsidR="00AC1B91" w:rsidRPr="006A72AA">
        <w:rPr>
          <w:lang w:val="en-GB"/>
        </w:rPr>
        <w:t xml:space="preserve">By varying the </w:t>
      </w:r>
      <w:r w:rsidRPr="006A72AA">
        <w:rPr>
          <w:lang w:val="en-GB"/>
        </w:rPr>
        <w:t xml:space="preserve">temperature </w:t>
      </w:r>
      <w:r w:rsidR="00AC1B91" w:rsidRPr="006A72AA">
        <w:rPr>
          <w:lang w:val="en-GB"/>
        </w:rPr>
        <w:t>between</w:t>
      </w:r>
      <w:r w:rsidRPr="006A72AA">
        <w:rPr>
          <w:lang w:val="en-GB"/>
        </w:rPr>
        <w:t xml:space="preserve"> </w:t>
      </w:r>
      <w:r w:rsidR="00A24732" w:rsidRPr="006A72AA">
        <w:rPr>
          <w:lang w:val="en-GB"/>
        </w:rPr>
        <w:t>5</w:t>
      </w:r>
      <w:r w:rsidRPr="006A72AA">
        <w:rPr>
          <w:lang w:val="en-GB"/>
        </w:rPr>
        <w:t xml:space="preserve">50 </w:t>
      </w:r>
      <w:r w:rsidR="00AC1B91" w:rsidRPr="006A72AA">
        <w:rPr>
          <w:lang w:val="en-GB"/>
        </w:rPr>
        <w:t>and</w:t>
      </w:r>
      <w:r w:rsidRPr="006A72AA">
        <w:rPr>
          <w:lang w:val="en-GB"/>
        </w:rPr>
        <w:t xml:space="preserve"> 1100 </w:t>
      </w:r>
      <w:r w:rsidRPr="006A72AA">
        <w:rPr>
          <w:rFonts w:ascii="Calibri" w:hAnsi="Calibri" w:cs="Calibri"/>
          <w:lang w:val="en-GB"/>
        </w:rPr>
        <w:t>°</w:t>
      </w:r>
      <w:r w:rsidRPr="006A72AA">
        <w:rPr>
          <w:lang w:val="en-GB"/>
        </w:rPr>
        <w:t xml:space="preserve">C, </w:t>
      </w:r>
      <w:r w:rsidR="00A24732" w:rsidRPr="006A72AA">
        <w:rPr>
          <w:lang w:val="en-GB"/>
        </w:rPr>
        <w:t xml:space="preserve">the LHV </w:t>
      </w:r>
      <w:r w:rsidR="00AC1B91" w:rsidRPr="006A72AA">
        <w:rPr>
          <w:lang w:val="en-GB"/>
        </w:rPr>
        <w:t>increased</w:t>
      </w:r>
      <w:r w:rsidR="00A24732" w:rsidRPr="006A72AA">
        <w:rPr>
          <w:lang w:val="en-GB"/>
        </w:rPr>
        <w:t xml:space="preserve"> </w:t>
      </w:r>
      <w:r w:rsidR="00924673" w:rsidRPr="006A72AA">
        <w:rPr>
          <w:lang w:val="en-GB"/>
        </w:rPr>
        <w:t xml:space="preserve">by approximately 4 MJ/kg </w:t>
      </w:r>
      <w:r w:rsidR="00AC1B91" w:rsidRPr="006A72AA">
        <w:rPr>
          <w:lang w:val="en-GB"/>
        </w:rPr>
        <w:t>in the interval between 550 and</w:t>
      </w:r>
      <w:r w:rsidR="00A24732" w:rsidRPr="006A72AA">
        <w:rPr>
          <w:lang w:val="en-GB"/>
        </w:rPr>
        <w:t xml:space="preserve"> 750</w:t>
      </w:r>
      <w:r w:rsidR="00924673" w:rsidRPr="006A72AA">
        <w:rPr>
          <w:lang w:val="en-GB"/>
        </w:rPr>
        <w:t xml:space="preserve"> </w:t>
      </w:r>
      <w:r w:rsidR="00AC1B91" w:rsidRPr="006A72AA">
        <w:rPr>
          <w:rFonts w:ascii="Calibri" w:hAnsi="Calibri" w:cs="Calibri"/>
          <w:lang w:val="en-GB"/>
        </w:rPr>
        <w:t>°</w:t>
      </w:r>
      <w:r w:rsidR="00AC1B91" w:rsidRPr="006A72AA">
        <w:rPr>
          <w:lang w:val="en-GB"/>
        </w:rPr>
        <w:t xml:space="preserve">C </w:t>
      </w:r>
      <w:r w:rsidR="00924673" w:rsidRPr="006A72AA">
        <w:rPr>
          <w:lang w:val="en-GB"/>
        </w:rPr>
        <w:t xml:space="preserve">and </w:t>
      </w:r>
      <w:r w:rsidR="00AC1B91" w:rsidRPr="006A72AA">
        <w:rPr>
          <w:lang w:val="en-GB"/>
        </w:rPr>
        <w:t>then leveled off.</w:t>
      </w:r>
      <w:r w:rsidR="00924673" w:rsidRPr="006A72AA">
        <w:rPr>
          <w:lang w:val="en-GB"/>
        </w:rPr>
        <w:t xml:space="preserve"> </w:t>
      </w:r>
      <w:r w:rsidRPr="006A72AA">
        <w:rPr>
          <w:lang w:val="en-GB"/>
        </w:rPr>
        <w:t>Thus</w:t>
      </w:r>
      <w:r w:rsidR="00B964E7" w:rsidRPr="006A72AA">
        <w:rPr>
          <w:lang w:val="en-GB"/>
        </w:rPr>
        <w:t xml:space="preserve">, </w:t>
      </w:r>
      <w:r w:rsidR="00A24732" w:rsidRPr="006A72AA">
        <w:rPr>
          <w:lang w:val="en-GB"/>
        </w:rPr>
        <w:t xml:space="preserve">the </w:t>
      </w:r>
      <w:r w:rsidR="00924673" w:rsidRPr="006A72AA">
        <w:rPr>
          <w:lang w:val="en-GB"/>
        </w:rPr>
        <w:t xml:space="preserve">gasifier was set to operate at </w:t>
      </w:r>
      <w:r w:rsidR="00A24732" w:rsidRPr="006A72AA">
        <w:rPr>
          <w:lang w:val="en-GB"/>
        </w:rPr>
        <w:t xml:space="preserve">750 </w:t>
      </w:r>
      <w:r w:rsidR="00A24732" w:rsidRPr="006A72AA">
        <w:rPr>
          <w:rFonts w:ascii="Calibri" w:hAnsi="Calibri" w:cs="Calibri"/>
          <w:lang w:val="en-GB"/>
        </w:rPr>
        <w:t>°</w:t>
      </w:r>
      <w:r w:rsidR="00A24732" w:rsidRPr="006A72AA">
        <w:rPr>
          <w:lang w:val="en-GB"/>
        </w:rPr>
        <w:t>C</w:t>
      </w:r>
      <w:r w:rsidR="00924673" w:rsidRPr="006A72AA">
        <w:rPr>
          <w:lang w:val="en-GB"/>
        </w:rPr>
        <w:t>, which is the lowest temperature allowed by Brazilian legislation.</w:t>
      </w:r>
    </w:p>
    <w:p w14:paraId="56535181" w14:textId="77777777" w:rsidR="0004317E" w:rsidRPr="006A72AA" w:rsidRDefault="0004317E" w:rsidP="00EE5823">
      <w:pPr>
        <w:pStyle w:val="CETBodytext"/>
        <w:rPr>
          <w:lang w:val="en-GB"/>
        </w:rPr>
      </w:pPr>
    </w:p>
    <w:p w14:paraId="556AABE3" w14:textId="0866EE58" w:rsidR="0005787D" w:rsidRDefault="00301B55" w:rsidP="00EE5823">
      <w:pPr>
        <w:pStyle w:val="CETBodytext"/>
        <w:rPr>
          <w:lang w:val="en-GB"/>
        </w:rPr>
      </w:pPr>
      <w:r w:rsidRPr="006A72AA">
        <w:rPr>
          <w:lang w:val="en-GB"/>
        </w:rPr>
        <w:t xml:space="preserve">Next, we assessed the effect of the air equivalent ratio (ER) on the dry, cold syngas composition at </w:t>
      </w:r>
      <w:r w:rsidR="00A24732" w:rsidRPr="006A72AA">
        <w:rPr>
          <w:lang w:val="en-GB"/>
        </w:rPr>
        <w:t>7</w:t>
      </w:r>
      <w:r w:rsidRPr="006A72AA">
        <w:rPr>
          <w:lang w:val="en-GB"/>
        </w:rPr>
        <w:t>5</w:t>
      </w:r>
      <w:r w:rsidR="00A24732" w:rsidRPr="006A72AA">
        <w:rPr>
          <w:lang w:val="en-GB"/>
        </w:rPr>
        <w:t>0</w:t>
      </w:r>
      <w:r w:rsidRPr="006A72AA">
        <w:rPr>
          <w:rFonts w:ascii="Calibri" w:hAnsi="Calibri" w:cs="Calibri"/>
          <w:lang w:val="en-GB"/>
        </w:rPr>
        <w:t>°</w:t>
      </w:r>
      <w:r w:rsidRPr="006A72AA">
        <w:rPr>
          <w:lang w:val="en-GB"/>
        </w:rPr>
        <w:t>C (</w:t>
      </w:r>
      <w:r w:rsidR="0005787D" w:rsidRPr="006A72AA">
        <w:rPr>
          <w:lang w:val="en-GB"/>
        </w:rPr>
        <w:t>Figure 3</w:t>
      </w:r>
      <w:r w:rsidRPr="006A72AA">
        <w:rPr>
          <w:lang w:val="en-GB"/>
        </w:rPr>
        <w:t>)</w:t>
      </w:r>
      <w:r w:rsidR="0005787D" w:rsidRPr="006A72AA">
        <w:rPr>
          <w:lang w:val="en-GB"/>
        </w:rPr>
        <w:t xml:space="preserve">. As the mass flowrate of </w:t>
      </w:r>
      <w:r w:rsidR="005C6F61" w:rsidRPr="006A72AA">
        <w:rPr>
          <w:lang w:val="en-GB"/>
        </w:rPr>
        <w:t xml:space="preserve">the </w:t>
      </w:r>
      <w:r w:rsidR="0005787D" w:rsidRPr="006A72AA">
        <w:rPr>
          <w:lang w:val="en-GB"/>
        </w:rPr>
        <w:t xml:space="preserve">gasifier agent </w:t>
      </w:r>
      <w:r w:rsidR="005C6F61" w:rsidRPr="006A72AA">
        <w:rPr>
          <w:lang w:val="en-GB"/>
        </w:rPr>
        <w:t xml:space="preserve">approximates </w:t>
      </w:r>
      <w:r w:rsidR="0005787D" w:rsidRPr="006A72AA">
        <w:rPr>
          <w:lang w:val="en-GB"/>
        </w:rPr>
        <w:t>stoichiometric conditions</w:t>
      </w:r>
      <w:r w:rsidRPr="006A72AA">
        <w:rPr>
          <w:lang w:val="en-GB"/>
        </w:rPr>
        <w:t xml:space="preserve"> (ER = 1 or 5.91 kg of air/kg of RDF)</w:t>
      </w:r>
      <w:r w:rsidR="0005787D" w:rsidRPr="006A72AA">
        <w:rPr>
          <w:lang w:val="en-GB"/>
        </w:rPr>
        <w:t xml:space="preserve">, </w:t>
      </w:r>
      <w:r w:rsidR="005C6F61" w:rsidRPr="006A72AA">
        <w:rPr>
          <w:lang w:val="en-GB"/>
        </w:rPr>
        <w:t xml:space="preserve">the mole fraction of </w:t>
      </w:r>
      <w:r w:rsidRPr="006A72AA">
        <w:rPr>
          <w:lang w:val="en-GB"/>
        </w:rPr>
        <w:t>CO</w:t>
      </w:r>
      <w:r w:rsidR="0005787D" w:rsidRPr="006A72AA">
        <w:rPr>
          <w:lang w:val="en-GB"/>
        </w:rPr>
        <w:t xml:space="preserve"> decreases as the</w:t>
      </w:r>
      <w:r w:rsidRPr="006A72AA">
        <w:rPr>
          <w:lang w:val="en-GB"/>
        </w:rPr>
        <w:t xml:space="preserve"> mole</w:t>
      </w:r>
      <w:r w:rsidR="00924673" w:rsidRPr="006A72AA">
        <w:rPr>
          <w:lang w:val="en-GB"/>
        </w:rPr>
        <w:t xml:space="preserve"> </w:t>
      </w:r>
      <w:r w:rsidR="005C6F61" w:rsidRPr="006A72AA">
        <w:rPr>
          <w:lang w:val="en-GB"/>
        </w:rPr>
        <w:t xml:space="preserve">fraction of </w:t>
      </w:r>
      <w:r w:rsidRPr="006A72AA">
        <w:rPr>
          <w:lang w:val="en-GB"/>
        </w:rPr>
        <w:t>CO</w:t>
      </w:r>
      <w:r w:rsidRPr="006A72AA">
        <w:rPr>
          <w:vertAlign w:val="subscript"/>
          <w:lang w:val="en-GB"/>
        </w:rPr>
        <w:t>2</w:t>
      </w:r>
      <w:r w:rsidRPr="006A72AA">
        <w:rPr>
          <w:lang w:val="en-GB"/>
        </w:rPr>
        <w:t xml:space="preserve"> increases, as expected</w:t>
      </w:r>
      <w:r w:rsidR="0005787D" w:rsidRPr="006A72AA">
        <w:rPr>
          <w:lang w:val="en-GB"/>
        </w:rPr>
        <w:t xml:space="preserve">. </w:t>
      </w:r>
      <w:r w:rsidRPr="006A72AA">
        <w:rPr>
          <w:lang w:val="en-GB"/>
        </w:rPr>
        <w:t>Meanwhile</w:t>
      </w:r>
      <w:r w:rsidR="0005787D" w:rsidRPr="006A72AA">
        <w:rPr>
          <w:lang w:val="en-GB"/>
        </w:rPr>
        <w:t>,</w:t>
      </w:r>
      <w:r w:rsidRPr="006A72AA">
        <w:rPr>
          <w:lang w:val="en-GB"/>
        </w:rPr>
        <w:t xml:space="preserve"> the</w:t>
      </w:r>
      <w:r w:rsidR="0005787D" w:rsidRPr="006A72AA">
        <w:rPr>
          <w:lang w:val="en-GB"/>
        </w:rPr>
        <w:t xml:space="preserve"> N</w:t>
      </w:r>
      <w:r w:rsidR="0005787D" w:rsidRPr="006A72AA">
        <w:rPr>
          <w:vertAlign w:val="subscript"/>
          <w:lang w:val="en-GB"/>
        </w:rPr>
        <w:t>2</w:t>
      </w:r>
      <w:r w:rsidR="0005787D" w:rsidRPr="006A72AA">
        <w:rPr>
          <w:lang w:val="en-GB"/>
        </w:rPr>
        <w:t xml:space="preserve"> mol fraction </w:t>
      </w:r>
      <w:r w:rsidRPr="006A72AA">
        <w:rPr>
          <w:lang w:val="en-GB"/>
        </w:rPr>
        <w:t>i</w:t>
      </w:r>
      <w:r w:rsidR="0005787D" w:rsidRPr="006A72AA">
        <w:rPr>
          <w:lang w:val="en-GB"/>
        </w:rPr>
        <w:t>ncrease</w:t>
      </w:r>
      <w:r w:rsidRPr="006A72AA">
        <w:rPr>
          <w:lang w:val="en-GB"/>
        </w:rPr>
        <w:t>s</w:t>
      </w:r>
      <w:r w:rsidR="00A636D9" w:rsidRPr="006A72AA">
        <w:rPr>
          <w:lang w:val="en-GB"/>
        </w:rPr>
        <w:t xml:space="preserve"> </w:t>
      </w:r>
      <w:r w:rsidRPr="006A72AA">
        <w:rPr>
          <w:lang w:val="en-GB"/>
        </w:rPr>
        <w:t>given</w:t>
      </w:r>
      <w:r w:rsidR="0005787D" w:rsidRPr="006A72AA">
        <w:rPr>
          <w:lang w:val="en-GB"/>
        </w:rPr>
        <w:t xml:space="preserve"> that it is not consumed </w:t>
      </w:r>
      <w:r w:rsidR="00A83DCB" w:rsidRPr="006A72AA">
        <w:rPr>
          <w:lang w:val="en-GB"/>
        </w:rPr>
        <w:t>(inert component)</w:t>
      </w:r>
      <w:r w:rsidR="0005787D" w:rsidRPr="006A72AA">
        <w:rPr>
          <w:lang w:val="en-GB"/>
        </w:rPr>
        <w:t>.</w:t>
      </w:r>
      <w:r w:rsidRPr="006A72AA">
        <w:rPr>
          <w:lang w:val="en-GB"/>
        </w:rPr>
        <w:t xml:space="preserve"> As a result, both the ER and the Cold Gas Efficiency (CGE) </w:t>
      </w:r>
      <w:r w:rsidR="00990F27" w:rsidRPr="006A72AA">
        <w:rPr>
          <w:lang w:val="en-GB"/>
        </w:rPr>
        <w:t xml:space="preserve">show a </w:t>
      </w:r>
      <w:r w:rsidRPr="006A72AA">
        <w:rPr>
          <w:lang w:val="en-GB"/>
        </w:rPr>
        <w:t>decrease</w:t>
      </w:r>
      <w:r w:rsidR="00990F27" w:rsidRPr="006A72AA">
        <w:rPr>
          <w:lang w:val="en-GB"/>
        </w:rPr>
        <w:t xml:space="preserve"> in their profile</w:t>
      </w:r>
      <w:r w:rsidRPr="006A72AA">
        <w:rPr>
          <w:lang w:val="en-GB"/>
        </w:rPr>
        <w:t xml:space="preserve"> (Figure 4).</w:t>
      </w:r>
    </w:p>
    <w:p w14:paraId="7850FE20" w14:textId="77777777" w:rsidR="0058089D" w:rsidRDefault="0058089D" w:rsidP="0058089D">
      <w:pPr>
        <w:pStyle w:val="CETBodytext"/>
        <w:rPr>
          <w:lang w:val="en-GB"/>
        </w:rPr>
      </w:pPr>
    </w:p>
    <w:p w14:paraId="56320996" w14:textId="77777777" w:rsidR="00EE5823" w:rsidRPr="00B964E7" w:rsidRDefault="00A24732" w:rsidP="00B964E7">
      <w:pPr>
        <w:pStyle w:val="CETBodytext"/>
        <w:rPr>
          <w:rStyle w:val="CETCaptionCarattere"/>
          <w:i w:val="0"/>
        </w:rPr>
      </w:pPr>
      <w:r>
        <w:rPr>
          <w:noProof/>
          <w:lang w:val="pt-BR" w:eastAsia="pt-BR"/>
        </w:rPr>
        <w:drawing>
          <wp:inline distT="0" distB="0" distL="0" distR="0" wp14:anchorId="09AD0F11" wp14:editId="4F27B20D">
            <wp:extent cx="4762500" cy="2714625"/>
            <wp:effectExtent l="0" t="0" r="0" b="0"/>
            <wp:docPr id="1" name="Chart 1">
              <a:extLst xmlns:a="http://schemas.openxmlformats.org/drawingml/2006/main">
                <a:ext uri="{FF2B5EF4-FFF2-40B4-BE49-F238E27FC236}">
                  <a16:creationId xmlns:a16="http://schemas.microsoft.com/office/drawing/2014/main" id="{EF1A605C-CC16-77FD-9B51-3785A979F5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A691FD" w14:textId="77777777" w:rsidR="00CC0D58" w:rsidRPr="00390812" w:rsidRDefault="00EE7D8B" w:rsidP="00390812">
      <w:pPr>
        <w:rPr>
          <w:i/>
        </w:rPr>
      </w:pPr>
      <w:r w:rsidRPr="00A24732">
        <w:rPr>
          <w:rStyle w:val="CETCaptionCarattere"/>
        </w:rPr>
        <w:t xml:space="preserve">Figure </w:t>
      </w:r>
      <w:r w:rsidR="00CC0D58" w:rsidRPr="00A24732">
        <w:rPr>
          <w:rStyle w:val="CETCaptionCarattere"/>
        </w:rPr>
        <w:t>2</w:t>
      </w:r>
      <w:r w:rsidRPr="00A24732">
        <w:rPr>
          <w:rStyle w:val="CETCaptionCarattere"/>
        </w:rPr>
        <w:t xml:space="preserve">: Influence of </w:t>
      </w:r>
      <w:r w:rsidR="00B964E7" w:rsidRPr="00A24732">
        <w:rPr>
          <w:rStyle w:val="CETCaptionCarattere"/>
        </w:rPr>
        <w:t>g</w:t>
      </w:r>
      <w:r w:rsidR="00301B55" w:rsidRPr="00A24732">
        <w:rPr>
          <w:rStyle w:val="CETCaptionCarattere"/>
        </w:rPr>
        <w:t>asification</w:t>
      </w:r>
      <w:r w:rsidR="00B964E7" w:rsidRPr="00A24732">
        <w:rPr>
          <w:rStyle w:val="CETCaptionCarattere"/>
        </w:rPr>
        <w:t xml:space="preserve"> temperature </w:t>
      </w:r>
      <w:r w:rsidR="00301B55" w:rsidRPr="00A24732">
        <w:rPr>
          <w:rStyle w:val="CETCaptionCarattere"/>
        </w:rPr>
        <w:t>o</w:t>
      </w:r>
      <w:r w:rsidR="00B964E7" w:rsidRPr="00A24732">
        <w:rPr>
          <w:rStyle w:val="CETCaptionCarattere"/>
        </w:rPr>
        <w:t>n syngas LHV and composition.</w:t>
      </w:r>
    </w:p>
    <w:p w14:paraId="093B703A" w14:textId="77777777" w:rsidR="00CC0D58" w:rsidRPr="00B964E7" w:rsidRDefault="00CC0D58" w:rsidP="0058089D">
      <w:pPr>
        <w:pStyle w:val="CETBodytext"/>
        <w:rPr>
          <w:lang w:val="en-GB"/>
        </w:rPr>
      </w:pPr>
    </w:p>
    <w:p w14:paraId="484D2854" w14:textId="77777777" w:rsidR="00CC0D58" w:rsidRDefault="00CC0D58" w:rsidP="0058089D">
      <w:pPr>
        <w:pStyle w:val="CETBodytext"/>
        <w:rPr>
          <w:lang w:val="en-GB"/>
        </w:rPr>
      </w:pPr>
    </w:p>
    <w:p w14:paraId="5310EE63" w14:textId="77777777" w:rsidR="00EE5823" w:rsidRPr="00B964E7" w:rsidRDefault="00A67D2B" w:rsidP="00B964E7">
      <w:pPr>
        <w:pStyle w:val="CETBodytext"/>
        <w:rPr>
          <w:rStyle w:val="CETCaptionCarattere"/>
          <w:i w:val="0"/>
        </w:rPr>
      </w:pPr>
      <w:r>
        <w:rPr>
          <w:noProof/>
          <w:lang w:val="pt-BR" w:eastAsia="pt-BR"/>
        </w:rPr>
        <w:drawing>
          <wp:inline distT="0" distB="0" distL="0" distR="0" wp14:anchorId="40E68360" wp14:editId="664ACDDE">
            <wp:extent cx="4610100" cy="3190877"/>
            <wp:effectExtent l="0" t="0" r="0" b="0"/>
            <wp:docPr id="2" name="Chart 2">
              <a:extLst xmlns:a="http://schemas.openxmlformats.org/drawingml/2006/main">
                <a:ext uri="{FF2B5EF4-FFF2-40B4-BE49-F238E27FC236}">
                  <a16:creationId xmlns:a16="http://schemas.microsoft.com/office/drawing/2014/main" id="{7B14B79F-3E38-490A-8CB9-ECEE81F51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963DEE" w14:textId="77777777" w:rsidR="00EE5823" w:rsidRDefault="00CC0D58" w:rsidP="00AD4EE6">
      <w:pPr>
        <w:rPr>
          <w:rStyle w:val="CETCaptionCarattere"/>
        </w:rPr>
      </w:pPr>
      <w:r w:rsidRPr="00AD4EE6">
        <w:rPr>
          <w:rStyle w:val="CETCaptionCarattere"/>
        </w:rPr>
        <w:t xml:space="preserve">Figure 3: Influence of equivalent ratio </w:t>
      </w:r>
      <w:r w:rsidR="005C6F61" w:rsidRPr="00AD4EE6">
        <w:rPr>
          <w:rStyle w:val="CETCaptionCarattere"/>
        </w:rPr>
        <w:t>on</w:t>
      </w:r>
      <w:r w:rsidRPr="00AD4EE6">
        <w:rPr>
          <w:rStyle w:val="CETCaptionCarattere"/>
        </w:rPr>
        <w:t xml:space="preserve"> syngas composition.</w:t>
      </w:r>
    </w:p>
    <w:p w14:paraId="5DD2B7DD" w14:textId="77777777" w:rsidR="00AD4EE6" w:rsidRPr="00AD4EE6" w:rsidRDefault="00AD4EE6" w:rsidP="00AD4EE6">
      <w:pPr>
        <w:rPr>
          <w:i/>
        </w:rPr>
      </w:pPr>
    </w:p>
    <w:p w14:paraId="77E48268" w14:textId="77777777" w:rsidR="00EE5823" w:rsidRPr="00AD4EE6" w:rsidRDefault="00EE5823" w:rsidP="00EE5823">
      <w:pPr>
        <w:pStyle w:val="CETBodytext"/>
        <w:rPr>
          <w:lang w:val="en-GB"/>
        </w:rPr>
      </w:pPr>
    </w:p>
    <w:p w14:paraId="062DF2D9" w14:textId="79B31A24" w:rsidR="00EE5823" w:rsidRDefault="00301B55" w:rsidP="00EE5823">
      <w:pPr>
        <w:pStyle w:val="CETBodytext"/>
        <w:rPr>
          <w:lang w:val="en-GB"/>
        </w:rPr>
      </w:pPr>
      <w:r w:rsidRPr="004D3F78">
        <w:rPr>
          <w:lang w:val="en-GB"/>
        </w:rPr>
        <w:t xml:space="preserve">Consequently, the net electrical efficiency decreases (Figure 5) </w:t>
      </w:r>
      <w:r w:rsidR="00970425" w:rsidRPr="004D3F78">
        <w:rPr>
          <w:lang w:val="en-GB"/>
        </w:rPr>
        <w:t>given that</w:t>
      </w:r>
      <w:r w:rsidRPr="004D3F78">
        <w:rPr>
          <w:lang w:val="en-GB"/>
        </w:rPr>
        <w:t xml:space="preserve"> higher values of ER (i) increase the concentration of N</w:t>
      </w:r>
      <w:r w:rsidRPr="004D3F78">
        <w:rPr>
          <w:vertAlign w:val="subscript"/>
          <w:lang w:val="en-GB"/>
        </w:rPr>
        <w:t>2</w:t>
      </w:r>
      <w:r w:rsidRPr="004D3F78">
        <w:rPr>
          <w:lang w:val="en-GB"/>
        </w:rPr>
        <w:t xml:space="preserve"> in the syngas and (ii) decrease the concentration of combustion gases such as H</w:t>
      </w:r>
      <w:r w:rsidRPr="004D3F78">
        <w:rPr>
          <w:vertAlign w:val="subscript"/>
          <w:lang w:val="en-GB"/>
        </w:rPr>
        <w:t>2</w:t>
      </w:r>
      <w:r w:rsidRPr="004D3F78">
        <w:rPr>
          <w:lang w:val="en-GB"/>
        </w:rPr>
        <w:t xml:space="preserve"> and CH</w:t>
      </w:r>
      <w:r w:rsidRPr="004D3F78">
        <w:rPr>
          <w:vertAlign w:val="subscript"/>
          <w:lang w:val="en-GB"/>
        </w:rPr>
        <w:t>4</w:t>
      </w:r>
      <w:r w:rsidRPr="004D3F78">
        <w:rPr>
          <w:lang w:val="en-GB"/>
        </w:rPr>
        <w:t>. The electrical efficiency is maximized by</w:t>
      </w:r>
      <w:r w:rsidR="00CC5067" w:rsidRPr="004D3F78">
        <w:rPr>
          <w:lang w:val="en-GB"/>
        </w:rPr>
        <w:t xml:space="preserve"> ER</w:t>
      </w:r>
      <w:r w:rsidRPr="004D3F78">
        <w:rPr>
          <w:lang w:val="en-GB"/>
        </w:rPr>
        <w:t xml:space="preserve"> values</w:t>
      </w:r>
      <w:r w:rsidR="00CC5067" w:rsidRPr="004D3F78">
        <w:rPr>
          <w:lang w:val="en-GB"/>
        </w:rPr>
        <w:t xml:space="preserve"> between 0.1 and 0.3,</w:t>
      </w:r>
      <w:r w:rsidRPr="004D3F78">
        <w:rPr>
          <w:lang w:val="en-GB"/>
        </w:rPr>
        <w:t xml:space="preserve"> reaching values between 25-29%</w:t>
      </w:r>
      <w:r w:rsidR="000B1487" w:rsidRPr="004D3F78">
        <w:rPr>
          <w:lang w:val="en-GB"/>
        </w:rPr>
        <w:t xml:space="preserve">, which are expected for gas turbines </w:t>
      </w:r>
      <w:r w:rsidRPr="004D3F78">
        <w:rPr>
          <w:lang w:val="en-GB"/>
        </w:rPr>
        <w:t xml:space="preserve">and </w:t>
      </w:r>
      <w:proofErr w:type="gramStart"/>
      <w:r w:rsidRPr="004D3F78">
        <w:rPr>
          <w:lang w:val="en-GB"/>
        </w:rPr>
        <w:t>similar to</w:t>
      </w:r>
      <w:proofErr w:type="gramEnd"/>
      <w:r w:rsidRPr="004D3F78">
        <w:rPr>
          <w:lang w:val="en-GB"/>
        </w:rPr>
        <w:t xml:space="preserve"> values reported by </w:t>
      </w:r>
      <w:r w:rsidR="00CC5067" w:rsidRPr="004D3F78">
        <w:rPr>
          <w:lang w:val="en-GB"/>
        </w:rPr>
        <w:t>Arena (2012)</w:t>
      </w:r>
      <w:r w:rsidR="000B1487" w:rsidRPr="004D3F78">
        <w:rPr>
          <w:lang w:val="en-GB"/>
        </w:rPr>
        <w:t>.</w:t>
      </w:r>
    </w:p>
    <w:p w14:paraId="2BCA2455" w14:textId="77777777" w:rsidR="00390812" w:rsidRDefault="00390812" w:rsidP="00D65EFA">
      <w:pPr>
        <w:rPr>
          <w:rStyle w:val="CETCaptionCarattere"/>
        </w:rPr>
      </w:pPr>
    </w:p>
    <w:p w14:paraId="04E09EE2" w14:textId="77777777" w:rsidR="00CC5067" w:rsidRDefault="00990F27" w:rsidP="00D65EFA">
      <w:pPr>
        <w:rPr>
          <w:rStyle w:val="CETCaptionCarattere"/>
        </w:rPr>
      </w:pPr>
      <w:r>
        <w:rPr>
          <w:noProof/>
          <w:lang w:val="pt-BR" w:eastAsia="pt-BR"/>
        </w:rPr>
        <w:drawing>
          <wp:inline distT="0" distB="0" distL="0" distR="0" wp14:anchorId="5EC8AF3D" wp14:editId="53F79F16">
            <wp:extent cx="4667250" cy="2571750"/>
            <wp:effectExtent l="0" t="0" r="0" b="0"/>
            <wp:docPr id="3" name="Chart 3">
              <a:extLst xmlns:a="http://schemas.openxmlformats.org/drawingml/2006/main">
                <a:ext uri="{FF2B5EF4-FFF2-40B4-BE49-F238E27FC236}">
                  <a16:creationId xmlns:a16="http://schemas.microsoft.com/office/drawing/2014/main" id="{4044FA83-523F-4DA8-AA84-4729EF4D14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3BFAF3" w14:textId="77777777" w:rsidR="00D65EFA" w:rsidRDefault="00CC0D58" w:rsidP="00D65EFA">
      <w:pPr>
        <w:rPr>
          <w:rStyle w:val="CETCaptionCarattere"/>
        </w:rPr>
      </w:pPr>
      <w:r w:rsidRPr="00AD4EE6">
        <w:rPr>
          <w:rStyle w:val="CETCaptionCarattere"/>
        </w:rPr>
        <w:t xml:space="preserve">Figure 4: Influence of equivalent ratio </w:t>
      </w:r>
      <w:r w:rsidR="005C6F61" w:rsidRPr="00AD4EE6">
        <w:rPr>
          <w:rStyle w:val="CETCaptionCarattere"/>
        </w:rPr>
        <w:t>on</w:t>
      </w:r>
      <w:r w:rsidR="00390812" w:rsidRPr="00AD4EE6">
        <w:rPr>
          <w:rStyle w:val="CETCaptionCarattere"/>
        </w:rPr>
        <w:t xml:space="preserve"> the syngas LHV and cold-gas efficiency.</w:t>
      </w:r>
    </w:p>
    <w:p w14:paraId="7017149D" w14:textId="77777777" w:rsidR="00990F27" w:rsidRDefault="00990F27" w:rsidP="00D65EFA">
      <w:pPr>
        <w:rPr>
          <w:rStyle w:val="CETCaptionCarattere"/>
        </w:rPr>
      </w:pPr>
    </w:p>
    <w:p w14:paraId="407ED128" w14:textId="77777777" w:rsidR="006557BA" w:rsidRPr="00990F27" w:rsidRDefault="00990F27" w:rsidP="00990F27">
      <w:pPr>
        <w:pStyle w:val="CETBodytext"/>
        <w:rPr>
          <w:rStyle w:val="CETCaptionCarattere"/>
          <w:i w:val="0"/>
        </w:rPr>
      </w:pPr>
      <w:r>
        <w:rPr>
          <w:noProof/>
          <w:lang w:val="pt-BR" w:eastAsia="pt-BR"/>
        </w:rPr>
        <w:drawing>
          <wp:inline distT="0" distB="0" distL="0" distR="0" wp14:anchorId="5D9EE65B" wp14:editId="33F82952">
            <wp:extent cx="4238043" cy="3119925"/>
            <wp:effectExtent l="0" t="0" r="0" b="0"/>
            <wp:docPr id="4" name="Chart 4">
              <a:extLst xmlns:a="http://schemas.openxmlformats.org/drawingml/2006/main">
                <a:ext uri="{FF2B5EF4-FFF2-40B4-BE49-F238E27FC236}">
                  <a16:creationId xmlns:a16="http://schemas.microsoft.com/office/drawing/2014/main" id="{7486F148-480A-C971-DCA0-1B6D028A28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2ACAC4" w14:textId="77777777" w:rsidR="00026668" w:rsidRDefault="00026668" w:rsidP="00EE5823">
      <w:pPr>
        <w:rPr>
          <w:rStyle w:val="CETCaptionCarattere"/>
        </w:rPr>
      </w:pPr>
      <w:r w:rsidRPr="00AD4EE6">
        <w:rPr>
          <w:rStyle w:val="CETCaptionCarattere"/>
        </w:rPr>
        <w:t xml:space="preserve">Figure 5: Net electrical efficiency of the power plant </w:t>
      </w:r>
      <w:r w:rsidR="005C6F61" w:rsidRPr="00AD4EE6">
        <w:rPr>
          <w:rStyle w:val="CETCaptionCarattere"/>
        </w:rPr>
        <w:t>as a function of</w:t>
      </w:r>
      <w:r w:rsidRPr="00AD4EE6">
        <w:rPr>
          <w:rStyle w:val="CETCaptionCarattere"/>
        </w:rPr>
        <w:t xml:space="preserve"> the equivalent ratio.</w:t>
      </w:r>
    </w:p>
    <w:p w14:paraId="70B195DF" w14:textId="77777777" w:rsidR="00970425" w:rsidRPr="00AD4EE6" w:rsidRDefault="00970425" w:rsidP="00EE5823">
      <w:pPr>
        <w:rPr>
          <w:i/>
        </w:rPr>
      </w:pPr>
    </w:p>
    <w:p w14:paraId="67CF6F97" w14:textId="77777777" w:rsidR="00600535" w:rsidRPr="00AD4EE6" w:rsidRDefault="00600535" w:rsidP="00600535">
      <w:pPr>
        <w:pStyle w:val="CETHeading1"/>
        <w:rPr>
          <w:lang w:val="en-GB"/>
        </w:rPr>
      </w:pPr>
      <w:r w:rsidRPr="00AD4EE6">
        <w:rPr>
          <w:lang w:val="en-GB"/>
        </w:rPr>
        <w:t>Conclusions</w:t>
      </w:r>
    </w:p>
    <w:p w14:paraId="2A81AD1C" w14:textId="6D0A1286" w:rsidR="00990F27" w:rsidRPr="009673B7" w:rsidRDefault="009673B7" w:rsidP="00990F27">
      <w:pPr>
        <w:pStyle w:val="CETBodytext"/>
        <w:rPr>
          <w:lang w:val="en-GB"/>
        </w:rPr>
      </w:pPr>
      <w:r w:rsidRPr="006A72AA">
        <w:rPr>
          <w:lang w:val="en-GB"/>
        </w:rPr>
        <w:t>This study evaluated the use of RDF as a feedstock to generate power</w:t>
      </w:r>
      <w:r w:rsidR="00BB334C" w:rsidRPr="006A72AA">
        <w:rPr>
          <w:lang w:val="en-GB"/>
        </w:rPr>
        <w:t xml:space="preserve"> in a small</w:t>
      </w:r>
      <w:r w:rsidR="00924673" w:rsidRPr="006A72AA">
        <w:rPr>
          <w:lang w:val="en-GB"/>
        </w:rPr>
        <w:t>-</w:t>
      </w:r>
      <w:r w:rsidR="00BB334C" w:rsidRPr="006A72AA">
        <w:rPr>
          <w:lang w:val="en-GB"/>
        </w:rPr>
        <w:t>scale plant,</w:t>
      </w:r>
      <w:r w:rsidRPr="006A72AA">
        <w:rPr>
          <w:lang w:val="en-GB"/>
        </w:rPr>
        <w:t xml:space="preserve"> considering the main parameters </w:t>
      </w:r>
      <w:r w:rsidR="00AC1B91" w:rsidRPr="006A72AA">
        <w:rPr>
          <w:lang w:val="en-GB"/>
        </w:rPr>
        <w:t>regulated</w:t>
      </w:r>
      <w:r w:rsidRPr="006A72AA">
        <w:rPr>
          <w:lang w:val="en-GB"/>
        </w:rPr>
        <w:t xml:space="preserve"> </w:t>
      </w:r>
      <w:r w:rsidR="005C6F61" w:rsidRPr="006A72AA">
        <w:rPr>
          <w:lang w:val="en-GB"/>
        </w:rPr>
        <w:t>by</w:t>
      </w:r>
      <w:r w:rsidR="00A636D9" w:rsidRPr="006A72AA">
        <w:rPr>
          <w:lang w:val="en-GB"/>
        </w:rPr>
        <w:t xml:space="preserve"> </w:t>
      </w:r>
      <w:r w:rsidR="005C6F61" w:rsidRPr="006A72AA">
        <w:rPr>
          <w:lang w:val="en-GB"/>
        </w:rPr>
        <w:t>Brazilian legislation</w:t>
      </w:r>
      <w:r w:rsidRPr="006A72AA">
        <w:rPr>
          <w:lang w:val="en-GB"/>
        </w:rPr>
        <w:t xml:space="preserve">. </w:t>
      </w:r>
      <w:r w:rsidR="00AC1B91" w:rsidRPr="006A72AA">
        <w:rPr>
          <w:lang w:val="en-GB"/>
        </w:rPr>
        <w:t>T</w:t>
      </w:r>
      <w:r w:rsidR="00924673" w:rsidRPr="006A72AA">
        <w:rPr>
          <w:lang w:val="en-GB"/>
        </w:rPr>
        <w:t>his</w:t>
      </w:r>
      <w:r w:rsidR="0099307B" w:rsidRPr="006A72AA">
        <w:rPr>
          <w:lang w:val="en-GB"/>
        </w:rPr>
        <w:t xml:space="preserve"> </w:t>
      </w:r>
      <w:r w:rsidR="00924673" w:rsidRPr="006A72AA">
        <w:rPr>
          <w:lang w:val="en-GB"/>
        </w:rPr>
        <w:t xml:space="preserve">study </w:t>
      </w:r>
      <w:r w:rsidR="0099307B" w:rsidRPr="006A72AA">
        <w:rPr>
          <w:lang w:val="en-GB"/>
        </w:rPr>
        <w:t xml:space="preserve">showed the importance of operating </w:t>
      </w:r>
      <w:r w:rsidR="00924673" w:rsidRPr="006A72AA">
        <w:rPr>
          <w:lang w:val="en-GB"/>
        </w:rPr>
        <w:t>the</w:t>
      </w:r>
      <w:r w:rsidR="0099307B" w:rsidRPr="006A72AA">
        <w:rPr>
          <w:lang w:val="en-GB"/>
        </w:rPr>
        <w:t xml:space="preserve"> gasification </w:t>
      </w:r>
      <w:r w:rsidR="00AC1B91" w:rsidRPr="006A72AA">
        <w:rPr>
          <w:lang w:val="en-GB"/>
        </w:rPr>
        <w:t xml:space="preserve">of RDF </w:t>
      </w:r>
      <w:r w:rsidR="00924673" w:rsidRPr="006A72AA">
        <w:rPr>
          <w:lang w:val="en-GB"/>
        </w:rPr>
        <w:t xml:space="preserve">at temperatures </w:t>
      </w:r>
      <w:r w:rsidR="0099307B" w:rsidRPr="006A72AA">
        <w:rPr>
          <w:rFonts w:cs="Arial"/>
          <w:lang w:val="en-GB"/>
        </w:rPr>
        <w:t>≥</w:t>
      </w:r>
      <w:r w:rsidR="0099307B" w:rsidRPr="006A72AA">
        <w:rPr>
          <w:lang w:val="en-GB"/>
        </w:rPr>
        <w:t>750 °C</w:t>
      </w:r>
      <w:r w:rsidR="00AC1B91" w:rsidRPr="006A72AA">
        <w:rPr>
          <w:lang w:val="en-GB"/>
        </w:rPr>
        <w:t>, as determined by a Brazilian regulation,</w:t>
      </w:r>
      <w:r w:rsidR="0099307B" w:rsidRPr="006A72AA">
        <w:rPr>
          <w:lang w:val="en-GB"/>
        </w:rPr>
        <w:t xml:space="preserve"> </w:t>
      </w:r>
      <w:r w:rsidR="00924673" w:rsidRPr="006A72AA">
        <w:rPr>
          <w:lang w:val="en-GB"/>
        </w:rPr>
        <w:t xml:space="preserve">to produce syngas with satisfactory </w:t>
      </w:r>
      <w:r w:rsidR="00AC1B91" w:rsidRPr="006A72AA">
        <w:rPr>
          <w:lang w:val="en-GB"/>
        </w:rPr>
        <w:t>energy content</w:t>
      </w:r>
      <w:r w:rsidR="0099307B" w:rsidRPr="006A72AA">
        <w:rPr>
          <w:lang w:val="en-GB"/>
        </w:rPr>
        <w:t>.</w:t>
      </w:r>
      <w:r w:rsidR="00BB334C" w:rsidRPr="006A72AA">
        <w:rPr>
          <w:lang w:val="en-GB"/>
        </w:rPr>
        <w:t xml:space="preserve"> </w:t>
      </w:r>
      <w:r w:rsidR="00AC1B91" w:rsidRPr="006A72AA">
        <w:rPr>
          <w:lang w:val="en-GB"/>
        </w:rPr>
        <w:t>Moreover</w:t>
      </w:r>
      <w:r w:rsidR="0099307B" w:rsidRPr="006A72AA">
        <w:rPr>
          <w:lang w:val="en-GB"/>
        </w:rPr>
        <w:t xml:space="preserve">, by using air as </w:t>
      </w:r>
      <w:r w:rsidR="00924673" w:rsidRPr="006A72AA">
        <w:rPr>
          <w:lang w:val="en-GB"/>
        </w:rPr>
        <w:t>a</w:t>
      </w:r>
      <w:r w:rsidR="0099307B" w:rsidRPr="006A72AA">
        <w:rPr>
          <w:lang w:val="en-GB"/>
        </w:rPr>
        <w:t xml:space="preserve"> gasification agent</w:t>
      </w:r>
      <w:r w:rsidR="00924673" w:rsidRPr="006A72AA">
        <w:rPr>
          <w:lang w:val="en-GB"/>
        </w:rPr>
        <w:t xml:space="preserve"> at an equivalent ratio in the range 0.1-0.3</w:t>
      </w:r>
      <w:r w:rsidR="0099307B" w:rsidRPr="006A72AA">
        <w:rPr>
          <w:lang w:val="en-GB"/>
        </w:rPr>
        <w:t>,</w:t>
      </w:r>
      <w:r w:rsidR="00924673" w:rsidRPr="006A72AA">
        <w:rPr>
          <w:lang w:val="en-GB"/>
        </w:rPr>
        <w:t xml:space="preserve"> the electrical efficiency was between 27-22%</w:t>
      </w:r>
      <w:r w:rsidR="0099307B" w:rsidRPr="006A72AA">
        <w:rPr>
          <w:lang w:val="en-GB"/>
        </w:rPr>
        <w:t xml:space="preserve"> </w:t>
      </w:r>
      <w:r w:rsidR="00924673" w:rsidRPr="006A72AA">
        <w:rPr>
          <w:lang w:val="en-GB"/>
        </w:rPr>
        <w:t>and</w:t>
      </w:r>
      <w:r w:rsidR="0099307B" w:rsidRPr="006A72AA">
        <w:rPr>
          <w:lang w:val="en-GB"/>
        </w:rPr>
        <w:t xml:space="preserve"> </w:t>
      </w:r>
      <w:proofErr w:type="gramStart"/>
      <w:r w:rsidR="0099307B" w:rsidRPr="006A72AA">
        <w:rPr>
          <w:lang w:val="en-GB"/>
        </w:rPr>
        <w:t xml:space="preserve">similar </w:t>
      </w:r>
      <w:r w:rsidR="00924673" w:rsidRPr="006A72AA">
        <w:rPr>
          <w:lang w:val="en-GB"/>
        </w:rPr>
        <w:t>to</w:t>
      </w:r>
      <w:proofErr w:type="gramEnd"/>
      <w:r w:rsidR="00924673" w:rsidRPr="006A72AA">
        <w:rPr>
          <w:lang w:val="en-GB"/>
        </w:rPr>
        <w:t xml:space="preserve"> values found in previous </w:t>
      </w:r>
      <w:r w:rsidR="0099307B" w:rsidRPr="006A72AA">
        <w:rPr>
          <w:lang w:val="en-GB"/>
        </w:rPr>
        <w:t xml:space="preserve">studies </w:t>
      </w:r>
      <w:r w:rsidR="00924673" w:rsidRPr="006A72AA">
        <w:rPr>
          <w:lang w:val="en-GB"/>
        </w:rPr>
        <w:t>on</w:t>
      </w:r>
      <w:r w:rsidR="0099307B" w:rsidRPr="006A72AA">
        <w:rPr>
          <w:lang w:val="en-GB"/>
        </w:rPr>
        <w:t xml:space="preserve"> </w:t>
      </w:r>
      <w:r w:rsidR="00AC1B91" w:rsidRPr="006A72AA">
        <w:rPr>
          <w:lang w:val="en-GB"/>
        </w:rPr>
        <w:t xml:space="preserve">the </w:t>
      </w:r>
      <w:r w:rsidR="0099307B" w:rsidRPr="006A72AA">
        <w:rPr>
          <w:lang w:val="en-GB"/>
        </w:rPr>
        <w:t xml:space="preserve">gasification of </w:t>
      </w:r>
      <w:r w:rsidR="00924673" w:rsidRPr="006A72AA">
        <w:rPr>
          <w:lang w:val="en-GB"/>
        </w:rPr>
        <w:t>RD</w:t>
      </w:r>
      <w:r w:rsidR="006A72AA">
        <w:rPr>
          <w:lang w:val="en-GB"/>
        </w:rPr>
        <w:t>F.</w:t>
      </w:r>
    </w:p>
    <w:p w14:paraId="4BDAD9D9" w14:textId="77777777" w:rsidR="00280FAF" w:rsidRPr="00280FAF" w:rsidRDefault="00280FAF" w:rsidP="00280FAF">
      <w:pPr>
        <w:pStyle w:val="CETHeadingxx"/>
        <w:rPr>
          <w:lang w:val="en-GB"/>
        </w:rPr>
        <w:sectPr w:rsidR="00280FAF" w:rsidRPr="00280FAF" w:rsidSect="007D0951">
          <w:type w:val="continuous"/>
          <w:pgSz w:w="11906" w:h="16838" w:code="9"/>
          <w:pgMar w:top="1701" w:right="1418" w:bottom="1701" w:left="1701" w:header="1701" w:footer="0" w:gutter="0"/>
          <w:cols w:space="708"/>
          <w:formProt w:val="0"/>
          <w:titlePg/>
          <w:docGrid w:linePitch="360"/>
        </w:sectPr>
      </w:pPr>
      <w:r>
        <w:lastRenderedPageBreak/>
        <w:t>Nomenclature</w:t>
      </w:r>
    </w:p>
    <w:p w14:paraId="25E42908" w14:textId="77777777" w:rsidR="00280FAF" w:rsidRPr="00280FAF" w:rsidRDefault="00473F2B" w:rsidP="00280FAF">
      <w:pPr>
        <w:pStyle w:val="CETBodytext"/>
        <w:jc w:val="left"/>
        <w:rPr>
          <w:rFonts w:eastAsia="SimSun"/>
        </w:rPr>
      </w:pPr>
      <w:r>
        <w:rPr>
          <w:rFonts w:eastAsia="SimSun"/>
        </w:rPr>
        <w:t>LHV</w:t>
      </w:r>
      <w:r w:rsidR="00280FAF" w:rsidRPr="00280FAF">
        <w:rPr>
          <w:rFonts w:eastAsia="SimSun"/>
        </w:rPr>
        <w:t xml:space="preserve"> – </w:t>
      </w:r>
      <w:r>
        <w:rPr>
          <w:rFonts w:eastAsia="SimSun"/>
        </w:rPr>
        <w:t>Lower Heating Value, MJ/kg</w:t>
      </w:r>
    </w:p>
    <w:p w14:paraId="3D06F185" w14:textId="77777777" w:rsidR="00280FAF" w:rsidRPr="00280FAF" w:rsidRDefault="00280FAF" w:rsidP="00280FAF">
      <w:pPr>
        <w:pStyle w:val="CETBodytext"/>
        <w:jc w:val="left"/>
        <w:rPr>
          <w:rFonts w:eastAsia="SimSun"/>
        </w:rPr>
        <w:sectPr w:rsidR="00280FAF" w:rsidRPr="00280FAF" w:rsidSect="0077098D">
          <w:type w:val="continuous"/>
          <w:pgSz w:w="11906" w:h="16838" w:code="9"/>
          <w:pgMar w:top="1701" w:right="1418" w:bottom="1701" w:left="1701" w:header="1701" w:footer="0" w:gutter="0"/>
          <w:cols w:space="708"/>
          <w:formProt w:val="0"/>
          <w:titlePg/>
          <w:docGrid w:linePitch="360"/>
        </w:sectPr>
      </w:pPr>
    </w:p>
    <w:p w14:paraId="4E6C5E72" w14:textId="77777777" w:rsidR="00280FAF" w:rsidRPr="00280FAF" w:rsidRDefault="00473F2B" w:rsidP="00280FAF">
      <w:pPr>
        <w:pStyle w:val="CETBodytext"/>
        <w:jc w:val="left"/>
        <w:rPr>
          <w:rFonts w:eastAsia="SimSun"/>
        </w:rPr>
      </w:pPr>
      <w:r>
        <w:rPr>
          <w:rFonts w:eastAsia="SimSun"/>
        </w:rPr>
        <w:t>C</w:t>
      </w:r>
      <w:r w:rsidRPr="00473F2B">
        <w:rPr>
          <w:rFonts w:eastAsia="SimSun"/>
          <w:vertAlign w:val="superscript"/>
        </w:rPr>
        <w:t>w</w:t>
      </w:r>
      <w:r w:rsidR="00280FAF" w:rsidRPr="00280FAF">
        <w:rPr>
          <w:rFonts w:eastAsia="SimSun"/>
        </w:rPr>
        <w:t xml:space="preserve"> – </w:t>
      </w:r>
      <w:r>
        <w:rPr>
          <w:rFonts w:eastAsia="SimSun"/>
        </w:rPr>
        <w:t>Carbon percentage, wet basis</w:t>
      </w:r>
    </w:p>
    <w:p w14:paraId="2E70212B" w14:textId="77777777" w:rsidR="00280FAF" w:rsidRPr="00280FAF" w:rsidRDefault="00473F2B" w:rsidP="00280FAF">
      <w:pPr>
        <w:pStyle w:val="CETBodytext"/>
        <w:jc w:val="left"/>
        <w:rPr>
          <w:rFonts w:eastAsia="SimSun"/>
        </w:rPr>
      </w:pPr>
      <w:r>
        <w:rPr>
          <w:rFonts w:eastAsia="SimSun"/>
        </w:rPr>
        <w:t>H</w:t>
      </w:r>
      <w:r w:rsidRPr="00473F2B">
        <w:rPr>
          <w:rFonts w:eastAsia="SimSun"/>
          <w:vertAlign w:val="superscript"/>
        </w:rPr>
        <w:t>w</w:t>
      </w:r>
      <w:r w:rsidR="00280FAF" w:rsidRPr="00280FAF">
        <w:rPr>
          <w:rFonts w:eastAsia="SimSun"/>
        </w:rPr>
        <w:t xml:space="preserve"> – </w:t>
      </w:r>
      <w:r>
        <w:rPr>
          <w:rFonts w:eastAsia="SimSun"/>
        </w:rPr>
        <w:t>Hydrogen percentage, wet basis</w:t>
      </w:r>
    </w:p>
    <w:p w14:paraId="1EB53BBA" w14:textId="77777777" w:rsidR="00280FAF" w:rsidRPr="00280FAF" w:rsidRDefault="00473F2B" w:rsidP="00280FAF">
      <w:pPr>
        <w:pStyle w:val="CETBodytext"/>
        <w:jc w:val="left"/>
        <w:rPr>
          <w:rFonts w:eastAsia="SimSun"/>
        </w:rPr>
      </w:pPr>
      <w:r>
        <w:rPr>
          <w:rFonts w:eastAsia="SimSun"/>
        </w:rPr>
        <w:t>O</w:t>
      </w:r>
      <w:r w:rsidRPr="00473F2B">
        <w:rPr>
          <w:rFonts w:eastAsia="SimSun"/>
          <w:vertAlign w:val="superscript"/>
        </w:rPr>
        <w:t>w</w:t>
      </w:r>
      <w:r w:rsidR="00280FAF" w:rsidRPr="00280FAF">
        <w:rPr>
          <w:rFonts w:eastAsia="SimSun"/>
        </w:rPr>
        <w:t xml:space="preserve"> – </w:t>
      </w:r>
      <w:r>
        <w:rPr>
          <w:rFonts w:eastAsia="SimSun"/>
        </w:rPr>
        <w:t xml:space="preserve">Oxygen percentage, wet </w:t>
      </w:r>
      <w:proofErr w:type="gramStart"/>
      <w:r>
        <w:rPr>
          <w:rFonts w:eastAsia="SimSun"/>
        </w:rPr>
        <w:t>basis</w:t>
      </w:r>
      <w:proofErr w:type="gramEnd"/>
      <w:r>
        <w:rPr>
          <w:rFonts w:eastAsia="SimSun"/>
        </w:rPr>
        <w:tab/>
      </w:r>
    </w:p>
    <w:p w14:paraId="29C0FE87" w14:textId="77777777" w:rsidR="00280FAF" w:rsidRPr="00280FAF" w:rsidRDefault="00473F2B" w:rsidP="00280FAF">
      <w:pPr>
        <w:pStyle w:val="CETBodytext"/>
        <w:jc w:val="left"/>
        <w:rPr>
          <w:rFonts w:eastAsia="SimSun"/>
        </w:rPr>
      </w:pPr>
      <w:r>
        <w:rPr>
          <w:rFonts w:eastAsia="SimSun"/>
        </w:rPr>
        <w:t>S</w:t>
      </w:r>
      <w:r w:rsidRPr="00473F2B">
        <w:rPr>
          <w:rFonts w:eastAsia="SimSun"/>
          <w:vertAlign w:val="superscript"/>
        </w:rPr>
        <w:t>w</w:t>
      </w:r>
      <w:r w:rsidR="00280FAF" w:rsidRPr="00280FAF">
        <w:rPr>
          <w:rFonts w:eastAsia="SimSun"/>
        </w:rPr>
        <w:t xml:space="preserve"> – </w:t>
      </w:r>
      <w:r>
        <w:rPr>
          <w:rFonts w:eastAsia="SimSun"/>
        </w:rPr>
        <w:t>Sulfur percentage, wet basis</w:t>
      </w:r>
    </w:p>
    <w:p w14:paraId="6BF13E1B" w14:textId="77777777" w:rsidR="00280FAF" w:rsidRPr="00280FAF" w:rsidRDefault="00473F2B" w:rsidP="00280FAF">
      <w:pPr>
        <w:pStyle w:val="CETBodytext"/>
        <w:jc w:val="left"/>
        <w:rPr>
          <w:rFonts w:eastAsia="SimSun"/>
        </w:rPr>
      </w:pPr>
      <w:r>
        <w:rPr>
          <w:rFonts w:eastAsia="SimSun"/>
        </w:rPr>
        <w:t>Moisture</w:t>
      </w:r>
      <w:r w:rsidRPr="00473F2B">
        <w:rPr>
          <w:rFonts w:eastAsia="SimSun"/>
          <w:vertAlign w:val="superscript"/>
        </w:rPr>
        <w:t>w</w:t>
      </w:r>
      <w:r w:rsidR="00280FAF" w:rsidRPr="00280FAF">
        <w:rPr>
          <w:rFonts w:eastAsia="SimSun"/>
        </w:rPr>
        <w:t xml:space="preserve"> – </w:t>
      </w:r>
      <w:r>
        <w:rPr>
          <w:rFonts w:eastAsia="SimSun"/>
        </w:rPr>
        <w:t>Moisture content, wet basis</w:t>
      </w:r>
    </w:p>
    <w:p w14:paraId="20E89370" w14:textId="77777777" w:rsidR="00280FAF" w:rsidRPr="00280FAF" w:rsidRDefault="00473F2B" w:rsidP="00280FAF">
      <w:pPr>
        <w:pStyle w:val="CETBodytext"/>
        <w:jc w:val="left"/>
        <w:rPr>
          <w:rFonts w:eastAsia="SimSun"/>
        </w:rPr>
      </w:pPr>
      <w:r>
        <w:rPr>
          <w:rFonts w:eastAsia="SimSun"/>
        </w:rPr>
        <w:t>m</w:t>
      </w:r>
      <w:r w:rsidRPr="00473F2B">
        <w:rPr>
          <w:rFonts w:eastAsia="SimSun"/>
          <w:vertAlign w:val="subscript"/>
        </w:rPr>
        <w:t>a</w:t>
      </w:r>
      <w:r w:rsidR="00280FAF" w:rsidRPr="00280FAF">
        <w:rPr>
          <w:rFonts w:eastAsia="SimSun"/>
        </w:rPr>
        <w:t xml:space="preserve">– </w:t>
      </w:r>
      <w:r>
        <w:rPr>
          <w:rFonts w:eastAsia="SimSun"/>
        </w:rPr>
        <w:t>air flowrate, kg/h</w:t>
      </w:r>
    </w:p>
    <w:p w14:paraId="156CEC75" w14:textId="77777777" w:rsidR="00280FAF" w:rsidRPr="00280FAF" w:rsidRDefault="00473F2B" w:rsidP="00280FAF">
      <w:pPr>
        <w:pStyle w:val="CETBodytext"/>
        <w:jc w:val="left"/>
        <w:rPr>
          <w:rFonts w:eastAsia="SimSun"/>
        </w:rPr>
      </w:pPr>
      <w:r>
        <w:rPr>
          <w:rFonts w:eastAsia="SimSun"/>
        </w:rPr>
        <w:t>m</w:t>
      </w:r>
      <w:r w:rsidRPr="00473F2B">
        <w:rPr>
          <w:rFonts w:eastAsia="SimSun"/>
          <w:vertAlign w:val="subscript"/>
        </w:rPr>
        <w:t>RDF</w:t>
      </w:r>
      <w:r w:rsidR="00280FAF" w:rsidRPr="00280FAF">
        <w:rPr>
          <w:rFonts w:eastAsia="SimSun"/>
        </w:rPr>
        <w:t xml:space="preserve"> – </w:t>
      </w:r>
      <w:r>
        <w:rPr>
          <w:rFonts w:eastAsia="SimSun"/>
        </w:rPr>
        <w:t>RDF flowrate, kg/h</w:t>
      </w:r>
    </w:p>
    <w:p w14:paraId="0EB803E6" w14:textId="77777777" w:rsidR="00280FAF" w:rsidRPr="00280FAF" w:rsidRDefault="00473F2B" w:rsidP="00280FAF">
      <w:pPr>
        <w:pStyle w:val="CETBodytext"/>
        <w:jc w:val="left"/>
        <w:rPr>
          <w:rFonts w:eastAsia="SimSun"/>
        </w:rPr>
      </w:pPr>
      <w:r>
        <w:rPr>
          <w:rFonts w:eastAsia="SimSun"/>
        </w:rPr>
        <w:t>ER</w:t>
      </w:r>
      <w:r w:rsidR="00280FAF" w:rsidRPr="00280FAF">
        <w:rPr>
          <w:rFonts w:eastAsia="SimSun"/>
        </w:rPr>
        <w:t xml:space="preserve"> – </w:t>
      </w:r>
      <w:r>
        <w:rPr>
          <w:rFonts w:eastAsia="SimSun"/>
        </w:rPr>
        <w:t>Equivalent Ratio</w:t>
      </w:r>
    </w:p>
    <w:p w14:paraId="447A354B" w14:textId="77777777" w:rsidR="00280FAF" w:rsidRPr="00280FAF" w:rsidRDefault="00276821" w:rsidP="00280FAF">
      <w:pPr>
        <w:pStyle w:val="CETBodytext"/>
        <w:jc w:val="left"/>
        <w:rPr>
          <w:rFonts w:eastAsia="SimSun"/>
        </w:rPr>
      </w:pPr>
      <w:r>
        <w:rPr>
          <w:rFonts w:eastAsia="SimSun"/>
        </w:rPr>
        <w:t>W</w:t>
      </w:r>
      <w:r w:rsidRPr="00276821">
        <w:rPr>
          <w:rFonts w:eastAsia="SimSun"/>
          <w:vertAlign w:val="subscript"/>
        </w:rPr>
        <w:t>turbine</w:t>
      </w:r>
      <w:r w:rsidR="00280FAF" w:rsidRPr="00280FAF">
        <w:rPr>
          <w:rFonts w:eastAsia="SimSun"/>
        </w:rPr>
        <w:t xml:space="preserve">– </w:t>
      </w:r>
      <w:r>
        <w:rPr>
          <w:rFonts w:eastAsia="SimSun"/>
        </w:rPr>
        <w:t xml:space="preserve">Gross work produced by turbines, </w:t>
      </w:r>
      <w:proofErr w:type="gramStart"/>
      <w:r>
        <w:rPr>
          <w:rFonts w:eastAsia="SimSun"/>
        </w:rPr>
        <w:t>kW</w:t>
      </w:r>
      <w:proofErr w:type="gramEnd"/>
    </w:p>
    <w:p w14:paraId="1F5B5491" w14:textId="77777777" w:rsidR="00280FAF" w:rsidRDefault="00276821" w:rsidP="00280FAF">
      <w:pPr>
        <w:pStyle w:val="CETBodytext"/>
        <w:jc w:val="left"/>
        <w:rPr>
          <w:rFonts w:eastAsia="SimSun"/>
        </w:rPr>
      </w:pPr>
      <w:r>
        <w:rPr>
          <w:rFonts w:eastAsia="SimSun"/>
        </w:rPr>
        <w:t>W</w:t>
      </w:r>
      <w:r w:rsidRPr="00276821">
        <w:rPr>
          <w:rFonts w:eastAsia="SimSun"/>
          <w:vertAlign w:val="subscript"/>
        </w:rPr>
        <w:t>compressors</w:t>
      </w:r>
      <w:r w:rsidR="00280FAF" w:rsidRPr="00280FAF">
        <w:rPr>
          <w:rFonts w:eastAsia="SimSun"/>
        </w:rPr>
        <w:t xml:space="preserve"> – </w:t>
      </w:r>
      <w:r>
        <w:rPr>
          <w:rFonts w:eastAsia="SimSun"/>
        </w:rPr>
        <w:t xml:space="preserve">Gross work produced by compressors, </w:t>
      </w:r>
      <w:proofErr w:type="gramStart"/>
      <w:r>
        <w:rPr>
          <w:rFonts w:eastAsia="SimSun"/>
        </w:rPr>
        <w:t>kW</w:t>
      </w:r>
      <w:proofErr w:type="gramEnd"/>
    </w:p>
    <w:p w14:paraId="0DC7FBBF" w14:textId="77777777" w:rsidR="00276821" w:rsidRPr="00280FAF" w:rsidRDefault="00276821" w:rsidP="00276821">
      <w:pPr>
        <w:pStyle w:val="CETBodytext"/>
        <w:jc w:val="left"/>
        <w:rPr>
          <w:rFonts w:eastAsia="SimSun"/>
        </w:rPr>
      </w:pPr>
      <m:oMath>
        <m:r>
          <w:rPr>
            <w:rFonts w:ascii="Cambria Math" w:hAnsi="Cambria Math" w:cs="Arial"/>
            <w:szCs w:val="18"/>
          </w:rPr>
          <m:t>η</m:t>
        </m:r>
      </m:oMath>
      <w:r w:rsidRPr="00280FAF">
        <w:rPr>
          <w:rFonts w:eastAsia="SimSun"/>
        </w:rPr>
        <w:t xml:space="preserve">– </w:t>
      </w:r>
      <w:r>
        <w:rPr>
          <w:rFonts w:eastAsia="SimSun"/>
        </w:rPr>
        <w:t>Net electrical efficiency, %</w:t>
      </w:r>
    </w:p>
    <w:p w14:paraId="4C118349" w14:textId="77777777" w:rsidR="00276821" w:rsidRPr="00276821" w:rsidRDefault="00276821" w:rsidP="00276821">
      <w:pPr>
        <w:pStyle w:val="CETBodytext"/>
        <w:jc w:val="left"/>
        <w:rPr>
          <w:rFonts w:eastAsia="SimSun"/>
          <w:lang w:val="en-CA"/>
        </w:rPr>
        <w:sectPr w:rsidR="00276821" w:rsidRPr="00276821" w:rsidSect="00200ECB">
          <w:type w:val="continuous"/>
          <w:pgSz w:w="11906" w:h="16838" w:code="9"/>
          <w:pgMar w:top="1701" w:right="1418" w:bottom="1701" w:left="1701" w:header="1701" w:footer="0" w:gutter="0"/>
          <w:cols w:num="2" w:space="708"/>
          <w:formProt w:val="0"/>
          <w:titlePg/>
          <w:docGrid w:linePitch="360"/>
        </w:sectPr>
      </w:pPr>
    </w:p>
    <w:p w14:paraId="56E66A80" w14:textId="77777777" w:rsidR="00280FAF" w:rsidRPr="00280FAF" w:rsidRDefault="00276821" w:rsidP="00280FAF">
      <w:pPr>
        <w:pStyle w:val="CETBodytext"/>
        <w:jc w:val="left"/>
        <w:rPr>
          <w:rFonts w:eastAsia="SimSun"/>
        </w:rPr>
      </w:pPr>
      <w:r>
        <w:rPr>
          <w:rFonts w:eastAsia="SimSun"/>
        </w:rPr>
        <w:t>LHV</w:t>
      </w:r>
      <w:r w:rsidRPr="00276821">
        <w:rPr>
          <w:rFonts w:eastAsia="SimSun"/>
          <w:vertAlign w:val="subscript"/>
        </w:rPr>
        <w:t>RDF</w:t>
      </w:r>
      <w:r w:rsidR="00280FAF" w:rsidRPr="00280FAF">
        <w:rPr>
          <w:rFonts w:eastAsia="SimSun"/>
        </w:rPr>
        <w:t xml:space="preserve"> – </w:t>
      </w:r>
      <w:r>
        <w:rPr>
          <w:rFonts w:eastAsia="SimSun"/>
        </w:rPr>
        <w:t>Lower Heating Value of R</w:t>
      </w:r>
      <w:r w:rsidR="00EE5823">
        <w:rPr>
          <w:rFonts w:eastAsia="SimSun"/>
        </w:rPr>
        <w:t>DF</w:t>
      </w:r>
      <w:r>
        <w:rPr>
          <w:rFonts w:eastAsia="SimSun"/>
        </w:rPr>
        <w:t>, kJ/kg</w:t>
      </w:r>
    </w:p>
    <w:p w14:paraId="60908850" w14:textId="77777777" w:rsidR="00CF6878" w:rsidRDefault="00CF6878" w:rsidP="00280FAF">
      <w:pPr>
        <w:pStyle w:val="CETBodytext"/>
        <w:jc w:val="left"/>
        <w:rPr>
          <w:rFonts w:eastAsia="SimSun"/>
        </w:rPr>
      </w:pPr>
    </w:p>
    <w:p w14:paraId="23CA60C5" w14:textId="77777777" w:rsidR="00CF6878" w:rsidRDefault="00CF6878" w:rsidP="00280FAF">
      <w:pPr>
        <w:pStyle w:val="CETBodytext"/>
        <w:jc w:val="left"/>
        <w:rPr>
          <w:rFonts w:eastAsia="SimSun"/>
        </w:rPr>
      </w:pPr>
    </w:p>
    <w:p w14:paraId="25EF3B23" w14:textId="77777777" w:rsidR="00CF6878" w:rsidRDefault="00CF6878" w:rsidP="00280FAF">
      <w:pPr>
        <w:pStyle w:val="CETBodytext"/>
        <w:jc w:val="left"/>
        <w:rPr>
          <w:rFonts w:eastAsia="SimSun"/>
        </w:rPr>
      </w:pPr>
    </w:p>
    <w:p w14:paraId="65BC71D3" w14:textId="77777777" w:rsidR="00CF6878" w:rsidRPr="00E377D0" w:rsidRDefault="00CF6878" w:rsidP="00280FAF">
      <w:pPr>
        <w:pStyle w:val="CETBodytext"/>
        <w:jc w:val="left"/>
        <w:rPr>
          <w:rFonts w:eastAsia="SimSun"/>
        </w:rPr>
        <w:sectPr w:rsidR="00CF6878" w:rsidRPr="00E377D0" w:rsidSect="00200ECB">
          <w:type w:val="continuous"/>
          <w:pgSz w:w="11906" w:h="16838" w:code="9"/>
          <w:pgMar w:top="1701" w:right="1418" w:bottom="1701" w:left="1701" w:header="1701" w:footer="0" w:gutter="0"/>
          <w:cols w:num="2" w:space="708"/>
          <w:formProt w:val="0"/>
          <w:titlePg/>
          <w:docGrid w:linePitch="360"/>
        </w:sectPr>
      </w:pPr>
    </w:p>
    <w:p w14:paraId="096789C4" w14:textId="77777777" w:rsidR="00600535" w:rsidRPr="00B57B36" w:rsidRDefault="00600535" w:rsidP="00600535">
      <w:pPr>
        <w:pStyle w:val="CETAcknowledgementstitle"/>
      </w:pPr>
      <w:r w:rsidRPr="00B57B36">
        <w:t>Acknowledgments</w:t>
      </w:r>
    </w:p>
    <w:p w14:paraId="641CDD12" w14:textId="77777777" w:rsidR="005C6F61" w:rsidRPr="009673B7" w:rsidRDefault="005C6F61" w:rsidP="00EE5823">
      <w:pPr>
        <w:pStyle w:val="CETBodytext"/>
        <w:rPr>
          <w:lang w:val="en-GB"/>
        </w:rPr>
      </w:pPr>
      <w:r>
        <w:rPr>
          <w:lang w:val="en-GB"/>
        </w:rPr>
        <w:t>T</w:t>
      </w:r>
      <w:r w:rsidRPr="009673B7">
        <w:rPr>
          <w:lang w:val="en-GB"/>
        </w:rPr>
        <w:t xml:space="preserve">his work was developed within </w:t>
      </w:r>
      <w:r w:rsidRPr="00AD4EE6">
        <w:rPr>
          <w:lang w:val="en-GB"/>
        </w:rPr>
        <w:t>the framework of the FAPESP BIOEN thematic project 2015/20630-4.</w:t>
      </w:r>
    </w:p>
    <w:p w14:paraId="4259F692" w14:textId="77777777" w:rsidR="00600535" w:rsidRPr="00D57050" w:rsidRDefault="00600535" w:rsidP="00600535">
      <w:pPr>
        <w:pStyle w:val="CETReference"/>
        <w:rPr>
          <w:lang w:val="en-US"/>
        </w:rPr>
      </w:pPr>
      <w:r w:rsidRPr="00D57050">
        <w:rPr>
          <w:lang w:val="en-US"/>
        </w:rPr>
        <w:t>References</w:t>
      </w:r>
    </w:p>
    <w:p w14:paraId="1055229F" w14:textId="77777777" w:rsidR="00AC069E" w:rsidRPr="00EC489B" w:rsidRDefault="00AC069E" w:rsidP="00924673">
      <w:pPr>
        <w:pStyle w:val="CETBodytext"/>
        <w:ind w:left="284" w:hanging="284"/>
        <w:rPr>
          <w:lang w:val="pt-BR"/>
        </w:rPr>
      </w:pPr>
      <w:r w:rsidRPr="00924673">
        <w:rPr>
          <w:lang w:val="en-GB"/>
        </w:rPr>
        <w:t xml:space="preserve">Arena, U., 2021, Process and technological aspects of municipal solid waste gasification. </w:t>
      </w:r>
      <w:r w:rsidRPr="00EC489B">
        <w:rPr>
          <w:lang w:val="pt-BR"/>
        </w:rPr>
        <w:t>A review. Waste Management, v. 32, n. 4, p. 625–639.</w:t>
      </w:r>
    </w:p>
    <w:p w14:paraId="2D1DF099" w14:textId="77777777" w:rsidR="00AC069E" w:rsidRPr="00EC489B" w:rsidRDefault="00AC069E" w:rsidP="00924673">
      <w:pPr>
        <w:pStyle w:val="CETBodytext"/>
        <w:ind w:left="284" w:hanging="284"/>
        <w:rPr>
          <w:lang w:val="pt-BR"/>
        </w:rPr>
      </w:pPr>
      <w:r w:rsidRPr="00EC489B">
        <w:rPr>
          <w:lang w:val="pt-BR"/>
        </w:rPr>
        <w:t>Cortez, L.A.B., Lora, E.E.S., Gómez, E.O., 2008, Biomassa para Energia [In Portuguese], Unicamp, São Paulo, Brazil.</w:t>
      </w:r>
    </w:p>
    <w:p w14:paraId="70A3F851" w14:textId="77777777" w:rsidR="00AC069E" w:rsidRPr="00EC489B" w:rsidRDefault="00AC069E" w:rsidP="00924673">
      <w:pPr>
        <w:pStyle w:val="CETBodytext"/>
        <w:ind w:left="284" w:hanging="284"/>
        <w:rPr>
          <w:lang w:val="pt-BR"/>
        </w:rPr>
      </w:pPr>
      <w:r w:rsidRPr="00EC489B">
        <w:rPr>
          <w:lang w:val="pt-BR"/>
        </w:rPr>
        <w:t>Filippo Filho, G., 2018, Gestão da Energia: Fundamentos e Aplicações [In Portuguese], Ética, São Paulo, Brazil.</w:t>
      </w:r>
    </w:p>
    <w:p w14:paraId="5D7A3A5A" w14:textId="77777777" w:rsidR="00AC069E" w:rsidRPr="00924673" w:rsidRDefault="00AC069E" w:rsidP="00924673">
      <w:pPr>
        <w:pStyle w:val="CETBodytext"/>
        <w:ind w:left="284" w:hanging="284"/>
        <w:rPr>
          <w:lang w:val="en-GB"/>
        </w:rPr>
      </w:pPr>
      <w:r w:rsidRPr="00924673">
        <w:rPr>
          <w:lang w:val="en-GB"/>
        </w:rPr>
        <w:t>Galeno, G., Minutillo, M., Perna, A., 2011, From waste to electricity through integrated plasma gasification/fuel cell (IPGFC) system. International Journal of Hydrogen Energy, v. 36, n. 2, p. 1692–1701.</w:t>
      </w:r>
    </w:p>
    <w:p w14:paraId="351D8382" w14:textId="77777777" w:rsidR="00AC069E" w:rsidRPr="00924673" w:rsidRDefault="00AC069E" w:rsidP="00924673">
      <w:pPr>
        <w:pStyle w:val="CETBodytext"/>
        <w:ind w:left="284" w:hanging="284"/>
        <w:rPr>
          <w:lang w:val="en-GB"/>
        </w:rPr>
      </w:pPr>
      <w:r w:rsidRPr="00924673">
        <w:rPr>
          <w:lang w:val="en-GB"/>
        </w:rPr>
        <w:t>Henao, N.C., Venturini, O.J., Santiago, Y.C., Lora, E.E.S., Maya, D.M.Y., Pamplona, E. O., Hoyos, J.S.N., Ando Junior, O.H., 2022, Energy and Economic Assessment of a System Integrated by a Biomass Downdraft Gasifier and a Gas Microturbine. Processes, v. 10, n. 11, p. 2377.</w:t>
      </w:r>
    </w:p>
    <w:p w14:paraId="484AF2E2" w14:textId="77777777" w:rsidR="00AC069E" w:rsidRPr="00924673" w:rsidRDefault="00AC069E" w:rsidP="00924673">
      <w:pPr>
        <w:pStyle w:val="CETBodytext"/>
        <w:ind w:left="284" w:hanging="284"/>
        <w:rPr>
          <w:lang w:val="en-GB"/>
        </w:rPr>
      </w:pPr>
      <w:r w:rsidRPr="00924673">
        <w:rPr>
          <w:lang w:val="en-GB"/>
        </w:rPr>
        <w:t>Marques, T.E., Santiago, Y.C., Renó, M.L.G., Maya, D.M.Y., Sphaier, L.A., Shi, Y., Ratner, A., 2021, Environmental and energetic evaluation of refuse-derived fuel gasification for electricity generation. Processes, v. 9, n. 12, p. 1–17.</w:t>
      </w:r>
    </w:p>
    <w:p w14:paraId="7E54AE13" w14:textId="77777777" w:rsidR="00AC069E" w:rsidRPr="00924673" w:rsidRDefault="00AC069E" w:rsidP="00924673">
      <w:pPr>
        <w:pStyle w:val="CETBodytext"/>
        <w:ind w:left="284" w:hanging="284"/>
        <w:rPr>
          <w:lang w:val="en-GB"/>
        </w:rPr>
      </w:pPr>
      <w:r w:rsidRPr="00924673">
        <w:rPr>
          <w:lang w:val="en-GB"/>
        </w:rPr>
        <w:t>Mehdi, M., Hamid, S. M., Xiaomin, L., Qureshi, T., 2020, Study of Hyrothermally RDF Samples for Energy Applications: Thermogravimetric Analysis, IOP Conference Series: Earth and Environmental Science, v. 565, n. 1.</w:t>
      </w:r>
    </w:p>
    <w:p w14:paraId="11A71746" w14:textId="78A62616" w:rsidR="00C52C3C" w:rsidRPr="00EC489B" w:rsidRDefault="00AC069E" w:rsidP="00924673">
      <w:pPr>
        <w:pStyle w:val="CETBodytext"/>
        <w:ind w:left="284" w:hanging="284"/>
        <w:rPr>
          <w:lang w:val="pt-BR"/>
        </w:rPr>
      </w:pPr>
      <w:r w:rsidRPr="00924673">
        <w:rPr>
          <w:lang w:val="en-GB"/>
        </w:rPr>
        <w:t>Násner, A.M.L., Lora, E.E.S., Palacio, J.C.E., Rocha, M.H., Restrepo, J.C., Venturini, O.J., Ratner, A., 2017,</w:t>
      </w:r>
      <w:r w:rsidR="00924673" w:rsidRPr="00924673">
        <w:rPr>
          <w:lang w:val="en-GB"/>
        </w:rPr>
        <w:t xml:space="preserve"> </w:t>
      </w:r>
      <w:r w:rsidRPr="00924673">
        <w:rPr>
          <w:lang w:val="en-GB"/>
        </w:rPr>
        <w:t xml:space="preserve">Refuse Derived Fuel (RDF) production and gasification in a pilot plant integrated with an Otto cycle ICE through Aspen </w:t>
      </w:r>
      <w:r w:rsidR="00924673" w:rsidRPr="00924673">
        <w:rPr>
          <w:lang w:val="en-GB"/>
        </w:rPr>
        <w:t>P</w:t>
      </w:r>
      <w:r w:rsidRPr="00924673">
        <w:rPr>
          <w:lang w:val="en-GB"/>
        </w:rPr>
        <w:t xml:space="preserve">lusTM modelling: Thermodynamic and economic viability. </w:t>
      </w:r>
      <w:r w:rsidRPr="00EC489B">
        <w:rPr>
          <w:lang w:val="pt-BR"/>
        </w:rPr>
        <w:t>Waste Management, v. 69, p. 187–201</w:t>
      </w:r>
    </w:p>
    <w:p w14:paraId="5234A262" w14:textId="77777777" w:rsidR="009673B7" w:rsidRPr="00EC489B" w:rsidRDefault="00276821" w:rsidP="00924673">
      <w:pPr>
        <w:pStyle w:val="CETBodytext"/>
        <w:ind w:left="284" w:hanging="284"/>
        <w:rPr>
          <w:lang w:val="pt-BR"/>
        </w:rPr>
      </w:pPr>
      <w:r w:rsidRPr="00EC489B">
        <w:rPr>
          <w:lang w:val="pt-BR"/>
        </w:rPr>
        <w:t>ONS, 2021, Avaliação das Condições de Atendimento Eletroenergético do Sistema Interligado Nacional – Estudo Prospectivo Julho a Novembro de 2021 [In Portuguese] &lt;</w:t>
      </w:r>
      <w:hyperlink r:id="rId16" w:history="1">
        <w:r w:rsidRPr="00EC489B">
          <w:rPr>
            <w:lang w:val="pt-BR"/>
          </w:rPr>
          <w:t>https://www.ons.org.br/AcervoDigitalDocumentosEPublicacoes/CTA-ONS%20DGL%201496-2021%20-%20Avalia%C3%A7%C3%A3o%20das%20Condi%C3%A7%C3%B5es%20de%20Atendimento%20Eletroenerg%C3%A9tico%20do%20Sistema%20Interligado%20Nacional%20-%20SIN.pdf</w:t>
        </w:r>
      </w:hyperlink>
      <w:r w:rsidRPr="00EC489B">
        <w:rPr>
          <w:lang w:val="pt-BR"/>
        </w:rPr>
        <w:t>&gt;acessed 12.02.2023.</w:t>
      </w:r>
    </w:p>
    <w:p w14:paraId="48466E28" w14:textId="77777777" w:rsidR="00AC069E" w:rsidRPr="00924673" w:rsidRDefault="00AC069E" w:rsidP="00924673">
      <w:pPr>
        <w:pStyle w:val="CETBodytext"/>
        <w:ind w:left="284" w:hanging="284"/>
        <w:rPr>
          <w:lang w:val="en-GB"/>
        </w:rPr>
      </w:pPr>
      <w:r w:rsidRPr="00924673">
        <w:rPr>
          <w:lang w:val="en-GB"/>
        </w:rPr>
        <w:t>Panepinto, D., Tadesco, V., Brizio, E., Genon, G., 2015, Environmental Performances and Energy Efficiency for MSW Gasification Treatment. Waste and Biomass Valorization, v. 6, n. 1, p. 123–135.</w:t>
      </w:r>
    </w:p>
    <w:p w14:paraId="50FCC53A" w14:textId="77777777" w:rsidR="00990F27" w:rsidRPr="00924673" w:rsidRDefault="00990F27" w:rsidP="00924673">
      <w:pPr>
        <w:pStyle w:val="CETBodytext"/>
        <w:ind w:left="284" w:hanging="284"/>
        <w:rPr>
          <w:lang w:val="en-GB"/>
        </w:rPr>
      </w:pPr>
      <w:r w:rsidRPr="00924673">
        <w:rPr>
          <w:lang w:val="en-GB"/>
        </w:rPr>
        <w:t>Salman, C.A.; Omer, C.B.,2020, Process Modelling and Simulation of Waste Gasification-Based Flexible Polygeneration Facilities for Power, Heat and Biofuels Production. Energies, v.13, 4264.</w:t>
      </w:r>
    </w:p>
    <w:p w14:paraId="0C2733F7" w14:textId="77777777" w:rsidR="009673B7" w:rsidRPr="00924673" w:rsidRDefault="00276821" w:rsidP="00924673">
      <w:pPr>
        <w:pStyle w:val="CETBodytext"/>
        <w:ind w:left="284" w:hanging="284"/>
        <w:rPr>
          <w:lang w:val="en-GB"/>
        </w:rPr>
      </w:pPr>
      <w:r w:rsidRPr="00924673">
        <w:rPr>
          <w:lang w:val="en-GB"/>
        </w:rPr>
        <w:t>Santiago, Y.</w:t>
      </w:r>
      <w:r w:rsidR="00E4425D" w:rsidRPr="00924673">
        <w:rPr>
          <w:lang w:val="en-GB"/>
        </w:rPr>
        <w:t xml:space="preserve"> C.,</w:t>
      </w:r>
      <w:r w:rsidRPr="00924673">
        <w:rPr>
          <w:lang w:val="en-GB"/>
        </w:rPr>
        <w:t xml:space="preserve"> Martínez, G.A., Venturini, O.J., Sphaier, L.A., Ocampo, B.E.A., 2022, </w:t>
      </w:r>
      <w:r w:rsidR="009673B7" w:rsidRPr="00924673">
        <w:rPr>
          <w:lang w:val="en-GB"/>
        </w:rPr>
        <w:t>Energetic and environmental assessment of oil sludge use in a gasifier/gas microturbine system</w:t>
      </w:r>
      <w:r w:rsidR="00E4425D" w:rsidRPr="00924673">
        <w:rPr>
          <w:lang w:val="en-GB"/>
        </w:rPr>
        <w:t>,</w:t>
      </w:r>
      <w:r w:rsidR="009673B7" w:rsidRPr="00924673">
        <w:rPr>
          <w:lang w:val="en-GB"/>
        </w:rPr>
        <w:t xml:space="preserve"> Energy, v. 244, 2022.</w:t>
      </w:r>
    </w:p>
    <w:p w14:paraId="570141CD" w14:textId="77777777" w:rsidR="00C52C3C" w:rsidRPr="00924673" w:rsidRDefault="00E4425D" w:rsidP="00924673">
      <w:pPr>
        <w:pStyle w:val="CETBodytext"/>
        <w:ind w:left="284" w:hanging="284"/>
        <w:rPr>
          <w:lang w:val="en-GB"/>
        </w:rPr>
      </w:pPr>
      <w:r w:rsidRPr="00EC489B">
        <w:rPr>
          <w:lang w:val="pt-BR"/>
        </w:rPr>
        <w:t xml:space="preserve">SIMA, Resolução047/20, Governo do Estado de São Paulo, Diretrizes e Condições para o licenciamento de unidades de preparo de combustível derivado de resíduos sólidos – CDR e da atividade de recuperação de energia proveniente do uso do CDR. </w:t>
      </w:r>
      <w:r w:rsidRPr="00924673">
        <w:rPr>
          <w:lang w:val="en-GB"/>
        </w:rPr>
        <w:t>[In Portuguese] &lt;</w:t>
      </w:r>
      <w:hyperlink r:id="rId17" w:history="1">
        <w:r w:rsidRPr="00924673">
          <w:rPr>
            <w:lang w:val="en-GB"/>
          </w:rPr>
          <w:t>https://smastr16.blob.core.windows.net/legislacao/sites/262/2022/07/2020resolucao_sima_047_2020.pdf</w:t>
        </w:r>
      </w:hyperlink>
      <w:r w:rsidRPr="00924673">
        <w:rPr>
          <w:lang w:val="en-GB"/>
        </w:rPr>
        <w:t>&gt; accessed 12.02.2023.</w:t>
      </w:r>
    </w:p>
    <w:sectPr w:rsidR="00C52C3C" w:rsidRPr="0092467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19B8" w14:textId="77777777" w:rsidR="006B7147" w:rsidRDefault="006B7147" w:rsidP="004F5E36">
      <w:r>
        <w:separator/>
      </w:r>
    </w:p>
  </w:endnote>
  <w:endnote w:type="continuationSeparator" w:id="0">
    <w:p w14:paraId="776D129B" w14:textId="77777777" w:rsidR="006B7147" w:rsidRDefault="006B714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F92D" w14:textId="77777777" w:rsidR="006B7147" w:rsidRDefault="006B7147" w:rsidP="004F5E36">
      <w:r>
        <w:separator/>
      </w:r>
    </w:p>
  </w:footnote>
  <w:footnote w:type="continuationSeparator" w:id="0">
    <w:p w14:paraId="24939C1D" w14:textId="77777777" w:rsidR="006B7147" w:rsidRDefault="006B714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D8F1B5E"/>
    <w:multiLevelType w:val="hybridMultilevel"/>
    <w:tmpl w:val="10980C42"/>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C5237"/>
    <w:multiLevelType w:val="multilevel"/>
    <w:tmpl w:val="CBFE640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5098284">
    <w:abstractNumId w:val="11"/>
  </w:num>
  <w:num w:numId="2" w16cid:durableId="379599327">
    <w:abstractNumId w:val="8"/>
  </w:num>
  <w:num w:numId="3" w16cid:durableId="573854188">
    <w:abstractNumId w:val="3"/>
  </w:num>
  <w:num w:numId="4" w16cid:durableId="417798398">
    <w:abstractNumId w:val="2"/>
  </w:num>
  <w:num w:numId="5" w16cid:durableId="2065979319">
    <w:abstractNumId w:val="1"/>
  </w:num>
  <w:num w:numId="6" w16cid:durableId="1165440181">
    <w:abstractNumId w:val="0"/>
  </w:num>
  <w:num w:numId="7" w16cid:durableId="425854830">
    <w:abstractNumId w:val="9"/>
  </w:num>
  <w:num w:numId="8" w16cid:durableId="2033653798">
    <w:abstractNumId w:val="7"/>
  </w:num>
  <w:num w:numId="9" w16cid:durableId="924847657">
    <w:abstractNumId w:val="6"/>
  </w:num>
  <w:num w:numId="10" w16cid:durableId="2069838052">
    <w:abstractNumId w:val="5"/>
  </w:num>
  <w:num w:numId="11" w16cid:durableId="100029237">
    <w:abstractNumId w:val="4"/>
  </w:num>
  <w:num w:numId="12" w16cid:durableId="840313588">
    <w:abstractNumId w:val="19"/>
  </w:num>
  <w:num w:numId="13" w16cid:durableId="802429406">
    <w:abstractNumId w:val="13"/>
  </w:num>
  <w:num w:numId="14" w16cid:durableId="1663435736">
    <w:abstractNumId w:val="20"/>
  </w:num>
  <w:num w:numId="15" w16cid:durableId="1009216703">
    <w:abstractNumId w:val="22"/>
  </w:num>
  <w:num w:numId="16" w16cid:durableId="717508815">
    <w:abstractNumId w:val="21"/>
  </w:num>
  <w:num w:numId="17" w16cid:durableId="1159738012">
    <w:abstractNumId w:val="12"/>
  </w:num>
  <w:num w:numId="18" w16cid:durableId="1169441473">
    <w:abstractNumId w:val="13"/>
    <w:lvlOverride w:ilvl="0">
      <w:startOverride w:val="1"/>
    </w:lvlOverride>
  </w:num>
  <w:num w:numId="19" w16cid:durableId="786390964">
    <w:abstractNumId w:val="18"/>
  </w:num>
  <w:num w:numId="20" w16cid:durableId="2008749416">
    <w:abstractNumId w:val="17"/>
  </w:num>
  <w:num w:numId="21" w16cid:durableId="1117138477">
    <w:abstractNumId w:val="16"/>
  </w:num>
  <w:num w:numId="22" w16cid:durableId="390427842">
    <w:abstractNumId w:val="14"/>
  </w:num>
  <w:num w:numId="23" w16cid:durableId="856578707">
    <w:abstractNumId w:val="15"/>
  </w:num>
  <w:num w:numId="24" w16cid:durableId="2959100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0FAC+bkuEtAAAA"/>
  </w:docVars>
  <w:rsids>
    <w:rsidRoot w:val="000E414A"/>
    <w:rsid w:val="000027C0"/>
    <w:rsid w:val="000052FB"/>
    <w:rsid w:val="000117CB"/>
    <w:rsid w:val="00026668"/>
    <w:rsid w:val="0003148D"/>
    <w:rsid w:val="00031EEC"/>
    <w:rsid w:val="0004317E"/>
    <w:rsid w:val="00051566"/>
    <w:rsid w:val="000562A9"/>
    <w:rsid w:val="0005787D"/>
    <w:rsid w:val="00062A9A"/>
    <w:rsid w:val="00065058"/>
    <w:rsid w:val="0007614C"/>
    <w:rsid w:val="00080801"/>
    <w:rsid w:val="00083DCA"/>
    <w:rsid w:val="00086C39"/>
    <w:rsid w:val="000A03B2"/>
    <w:rsid w:val="000B1487"/>
    <w:rsid w:val="000D0268"/>
    <w:rsid w:val="000D34BE"/>
    <w:rsid w:val="000E102F"/>
    <w:rsid w:val="000E2004"/>
    <w:rsid w:val="000E36F1"/>
    <w:rsid w:val="000E3A73"/>
    <w:rsid w:val="000E414A"/>
    <w:rsid w:val="000F093C"/>
    <w:rsid w:val="000F787B"/>
    <w:rsid w:val="0012007C"/>
    <w:rsid w:val="0012091F"/>
    <w:rsid w:val="00126BC2"/>
    <w:rsid w:val="001308B6"/>
    <w:rsid w:val="00130BEB"/>
    <w:rsid w:val="0013121F"/>
    <w:rsid w:val="00131FE6"/>
    <w:rsid w:val="0013263F"/>
    <w:rsid w:val="001331DF"/>
    <w:rsid w:val="00134DE4"/>
    <w:rsid w:val="00137DF7"/>
    <w:rsid w:val="0014034D"/>
    <w:rsid w:val="00144D16"/>
    <w:rsid w:val="00150E59"/>
    <w:rsid w:val="00152DE3"/>
    <w:rsid w:val="00164CF9"/>
    <w:rsid w:val="001667A6"/>
    <w:rsid w:val="001723BF"/>
    <w:rsid w:val="001817F9"/>
    <w:rsid w:val="00184AD6"/>
    <w:rsid w:val="001A1223"/>
    <w:rsid w:val="001A4AF7"/>
    <w:rsid w:val="001B0349"/>
    <w:rsid w:val="001B0BDA"/>
    <w:rsid w:val="001B1E93"/>
    <w:rsid w:val="001B65C1"/>
    <w:rsid w:val="001B77E4"/>
    <w:rsid w:val="001C446F"/>
    <w:rsid w:val="001C684B"/>
    <w:rsid w:val="001D0CFB"/>
    <w:rsid w:val="001D21AF"/>
    <w:rsid w:val="001D3A21"/>
    <w:rsid w:val="001D53FC"/>
    <w:rsid w:val="001F01E1"/>
    <w:rsid w:val="001F42A5"/>
    <w:rsid w:val="001F7B9D"/>
    <w:rsid w:val="00201C93"/>
    <w:rsid w:val="002075BF"/>
    <w:rsid w:val="00220F1D"/>
    <w:rsid w:val="002224B4"/>
    <w:rsid w:val="002447EF"/>
    <w:rsid w:val="00245F91"/>
    <w:rsid w:val="00251550"/>
    <w:rsid w:val="00263B05"/>
    <w:rsid w:val="00266160"/>
    <w:rsid w:val="0027221A"/>
    <w:rsid w:val="00275B61"/>
    <w:rsid w:val="00276821"/>
    <w:rsid w:val="00280FAF"/>
    <w:rsid w:val="00282656"/>
    <w:rsid w:val="002933E2"/>
    <w:rsid w:val="00296B83"/>
    <w:rsid w:val="002A4F93"/>
    <w:rsid w:val="002B4015"/>
    <w:rsid w:val="002B78CE"/>
    <w:rsid w:val="002C2FB6"/>
    <w:rsid w:val="002E1B82"/>
    <w:rsid w:val="002E5FA7"/>
    <w:rsid w:val="002F3309"/>
    <w:rsid w:val="003008CE"/>
    <w:rsid w:val="003009B7"/>
    <w:rsid w:val="00300E56"/>
    <w:rsid w:val="0030152C"/>
    <w:rsid w:val="00301B55"/>
    <w:rsid w:val="0030469C"/>
    <w:rsid w:val="00321CA6"/>
    <w:rsid w:val="00323242"/>
    <w:rsid w:val="00323763"/>
    <w:rsid w:val="00323C5F"/>
    <w:rsid w:val="00334C09"/>
    <w:rsid w:val="003723D4"/>
    <w:rsid w:val="00381905"/>
    <w:rsid w:val="00384CC8"/>
    <w:rsid w:val="003871FD"/>
    <w:rsid w:val="00390812"/>
    <w:rsid w:val="003A1E30"/>
    <w:rsid w:val="003A2829"/>
    <w:rsid w:val="003A7D1C"/>
    <w:rsid w:val="003B304B"/>
    <w:rsid w:val="003B3146"/>
    <w:rsid w:val="003D7705"/>
    <w:rsid w:val="003F015E"/>
    <w:rsid w:val="00400414"/>
    <w:rsid w:val="0041446B"/>
    <w:rsid w:val="0044071E"/>
    <w:rsid w:val="0044329C"/>
    <w:rsid w:val="00453E24"/>
    <w:rsid w:val="00456C8B"/>
    <w:rsid w:val="00457456"/>
    <w:rsid w:val="004577FE"/>
    <w:rsid w:val="00457B9C"/>
    <w:rsid w:val="0046164A"/>
    <w:rsid w:val="004628D2"/>
    <w:rsid w:val="00462DCD"/>
    <w:rsid w:val="004648AD"/>
    <w:rsid w:val="004703A9"/>
    <w:rsid w:val="00473F2B"/>
    <w:rsid w:val="004760DE"/>
    <w:rsid w:val="004763D7"/>
    <w:rsid w:val="00497096"/>
    <w:rsid w:val="004A004E"/>
    <w:rsid w:val="004A1C79"/>
    <w:rsid w:val="004A24CF"/>
    <w:rsid w:val="004C3D1D"/>
    <w:rsid w:val="004C3D84"/>
    <w:rsid w:val="004C7913"/>
    <w:rsid w:val="004C7CE8"/>
    <w:rsid w:val="004D3F78"/>
    <w:rsid w:val="004E4DD6"/>
    <w:rsid w:val="004F5E36"/>
    <w:rsid w:val="00505072"/>
    <w:rsid w:val="00507B47"/>
    <w:rsid w:val="00507BEF"/>
    <w:rsid w:val="00507CC9"/>
    <w:rsid w:val="005119A5"/>
    <w:rsid w:val="005278B7"/>
    <w:rsid w:val="00532016"/>
    <w:rsid w:val="005346C8"/>
    <w:rsid w:val="0053677C"/>
    <w:rsid w:val="00543E7D"/>
    <w:rsid w:val="00547A68"/>
    <w:rsid w:val="005531C9"/>
    <w:rsid w:val="005562A8"/>
    <w:rsid w:val="00570C43"/>
    <w:rsid w:val="00572361"/>
    <w:rsid w:val="0058089D"/>
    <w:rsid w:val="005929B9"/>
    <w:rsid w:val="005B2110"/>
    <w:rsid w:val="005B3AA3"/>
    <w:rsid w:val="005B61E6"/>
    <w:rsid w:val="005C6F61"/>
    <w:rsid w:val="005C77E1"/>
    <w:rsid w:val="005D668A"/>
    <w:rsid w:val="005D6A2F"/>
    <w:rsid w:val="005E1A82"/>
    <w:rsid w:val="005E2837"/>
    <w:rsid w:val="005E437C"/>
    <w:rsid w:val="005E794C"/>
    <w:rsid w:val="005F0A28"/>
    <w:rsid w:val="005F0E5E"/>
    <w:rsid w:val="00600535"/>
    <w:rsid w:val="00610CD6"/>
    <w:rsid w:val="00620DEE"/>
    <w:rsid w:val="00621F92"/>
    <w:rsid w:val="0062280A"/>
    <w:rsid w:val="00625639"/>
    <w:rsid w:val="00631B33"/>
    <w:rsid w:val="0064184D"/>
    <w:rsid w:val="006422CC"/>
    <w:rsid w:val="006557BA"/>
    <w:rsid w:val="00660E3E"/>
    <w:rsid w:val="00662E74"/>
    <w:rsid w:val="00680C23"/>
    <w:rsid w:val="00693766"/>
    <w:rsid w:val="006A3281"/>
    <w:rsid w:val="006A72AA"/>
    <w:rsid w:val="006B4888"/>
    <w:rsid w:val="006B7147"/>
    <w:rsid w:val="006C2E45"/>
    <w:rsid w:val="006C359C"/>
    <w:rsid w:val="006C5579"/>
    <w:rsid w:val="006D6E8B"/>
    <w:rsid w:val="006E737D"/>
    <w:rsid w:val="00713973"/>
    <w:rsid w:val="00720A24"/>
    <w:rsid w:val="007214A2"/>
    <w:rsid w:val="00732386"/>
    <w:rsid w:val="0073514D"/>
    <w:rsid w:val="007447F3"/>
    <w:rsid w:val="00746F48"/>
    <w:rsid w:val="0075499F"/>
    <w:rsid w:val="007661C8"/>
    <w:rsid w:val="0077060A"/>
    <w:rsid w:val="0077098D"/>
    <w:rsid w:val="00786137"/>
    <w:rsid w:val="007931FA"/>
    <w:rsid w:val="007A4861"/>
    <w:rsid w:val="007A7BBA"/>
    <w:rsid w:val="007B0C50"/>
    <w:rsid w:val="007B48F9"/>
    <w:rsid w:val="007C1A43"/>
    <w:rsid w:val="007D0951"/>
    <w:rsid w:val="0080013E"/>
    <w:rsid w:val="00813288"/>
    <w:rsid w:val="008140A4"/>
    <w:rsid w:val="008168FC"/>
    <w:rsid w:val="00827A8B"/>
    <w:rsid w:val="00830996"/>
    <w:rsid w:val="008345F1"/>
    <w:rsid w:val="00865B07"/>
    <w:rsid w:val="008667EA"/>
    <w:rsid w:val="0087637F"/>
    <w:rsid w:val="00892AD5"/>
    <w:rsid w:val="00897CB1"/>
    <w:rsid w:val="008A1512"/>
    <w:rsid w:val="008D2E11"/>
    <w:rsid w:val="008D32B9"/>
    <w:rsid w:val="008D433B"/>
    <w:rsid w:val="008D4A16"/>
    <w:rsid w:val="008E566E"/>
    <w:rsid w:val="008E6DDD"/>
    <w:rsid w:val="00900E80"/>
    <w:rsid w:val="0090161A"/>
    <w:rsid w:val="00901EB6"/>
    <w:rsid w:val="00904C62"/>
    <w:rsid w:val="00922BA8"/>
    <w:rsid w:val="009233AD"/>
    <w:rsid w:val="00924673"/>
    <w:rsid w:val="00924DAC"/>
    <w:rsid w:val="00927058"/>
    <w:rsid w:val="00942750"/>
    <w:rsid w:val="009450CE"/>
    <w:rsid w:val="009459BB"/>
    <w:rsid w:val="00947179"/>
    <w:rsid w:val="00947624"/>
    <w:rsid w:val="0095164B"/>
    <w:rsid w:val="00954090"/>
    <w:rsid w:val="009573E7"/>
    <w:rsid w:val="00963E05"/>
    <w:rsid w:val="00964A45"/>
    <w:rsid w:val="009673B7"/>
    <w:rsid w:val="00967843"/>
    <w:rsid w:val="00967D54"/>
    <w:rsid w:val="00970425"/>
    <w:rsid w:val="00971028"/>
    <w:rsid w:val="00990F27"/>
    <w:rsid w:val="00991F0C"/>
    <w:rsid w:val="0099307B"/>
    <w:rsid w:val="00993B84"/>
    <w:rsid w:val="00996483"/>
    <w:rsid w:val="00996F5A"/>
    <w:rsid w:val="009B041A"/>
    <w:rsid w:val="009C37C3"/>
    <w:rsid w:val="009C4B55"/>
    <w:rsid w:val="009C7C86"/>
    <w:rsid w:val="009D2FF7"/>
    <w:rsid w:val="009E7884"/>
    <w:rsid w:val="009E788A"/>
    <w:rsid w:val="009F0E08"/>
    <w:rsid w:val="009F1339"/>
    <w:rsid w:val="00A008D7"/>
    <w:rsid w:val="00A051E5"/>
    <w:rsid w:val="00A1763D"/>
    <w:rsid w:val="00A17CEC"/>
    <w:rsid w:val="00A24732"/>
    <w:rsid w:val="00A27EF0"/>
    <w:rsid w:val="00A42361"/>
    <w:rsid w:val="00A50B20"/>
    <w:rsid w:val="00A51390"/>
    <w:rsid w:val="00A60D13"/>
    <w:rsid w:val="00A636D9"/>
    <w:rsid w:val="00A67D2B"/>
    <w:rsid w:val="00A7223D"/>
    <w:rsid w:val="00A72745"/>
    <w:rsid w:val="00A72976"/>
    <w:rsid w:val="00A76EFC"/>
    <w:rsid w:val="00A83DCB"/>
    <w:rsid w:val="00A87D50"/>
    <w:rsid w:val="00A91010"/>
    <w:rsid w:val="00A97F29"/>
    <w:rsid w:val="00AA36C0"/>
    <w:rsid w:val="00AA702E"/>
    <w:rsid w:val="00AA7D26"/>
    <w:rsid w:val="00AB0964"/>
    <w:rsid w:val="00AB5011"/>
    <w:rsid w:val="00AC069E"/>
    <w:rsid w:val="00AC1B91"/>
    <w:rsid w:val="00AC3F7B"/>
    <w:rsid w:val="00AC7368"/>
    <w:rsid w:val="00AD16B9"/>
    <w:rsid w:val="00AD4EE6"/>
    <w:rsid w:val="00AE377D"/>
    <w:rsid w:val="00AF0EBA"/>
    <w:rsid w:val="00B02C8A"/>
    <w:rsid w:val="00B11B74"/>
    <w:rsid w:val="00B17FBD"/>
    <w:rsid w:val="00B315A6"/>
    <w:rsid w:val="00B31813"/>
    <w:rsid w:val="00B33365"/>
    <w:rsid w:val="00B335C6"/>
    <w:rsid w:val="00B4111F"/>
    <w:rsid w:val="00B4177A"/>
    <w:rsid w:val="00B42B2E"/>
    <w:rsid w:val="00B57B36"/>
    <w:rsid w:val="00B57E6F"/>
    <w:rsid w:val="00B8686D"/>
    <w:rsid w:val="00B93F69"/>
    <w:rsid w:val="00B964E7"/>
    <w:rsid w:val="00BB1DDC"/>
    <w:rsid w:val="00BB334C"/>
    <w:rsid w:val="00BB3F90"/>
    <w:rsid w:val="00BC2ADB"/>
    <w:rsid w:val="00BC30C9"/>
    <w:rsid w:val="00BC7587"/>
    <w:rsid w:val="00BD077D"/>
    <w:rsid w:val="00BE3E58"/>
    <w:rsid w:val="00C01152"/>
    <w:rsid w:val="00C01616"/>
    <w:rsid w:val="00C0162B"/>
    <w:rsid w:val="00C068ED"/>
    <w:rsid w:val="00C22E0C"/>
    <w:rsid w:val="00C345B1"/>
    <w:rsid w:val="00C35FB0"/>
    <w:rsid w:val="00C40142"/>
    <w:rsid w:val="00C42B73"/>
    <w:rsid w:val="00C52C3C"/>
    <w:rsid w:val="00C57182"/>
    <w:rsid w:val="00C57863"/>
    <w:rsid w:val="00C640AF"/>
    <w:rsid w:val="00C655FD"/>
    <w:rsid w:val="00C75407"/>
    <w:rsid w:val="00C870A8"/>
    <w:rsid w:val="00C91FC6"/>
    <w:rsid w:val="00C941EB"/>
    <w:rsid w:val="00C94434"/>
    <w:rsid w:val="00C9633D"/>
    <w:rsid w:val="00CA0D75"/>
    <w:rsid w:val="00CA16ED"/>
    <w:rsid w:val="00CA1C95"/>
    <w:rsid w:val="00CA5A9C"/>
    <w:rsid w:val="00CA6CBF"/>
    <w:rsid w:val="00CC0D58"/>
    <w:rsid w:val="00CC4C20"/>
    <w:rsid w:val="00CC5067"/>
    <w:rsid w:val="00CD3517"/>
    <w:rsid w:val="00CD5FE2"/>
    <w:rsid w:val="00CE7C68"/>
    <w:rsid w:val="00CF6878"/>
    <w:rsid w:val="00D02B4C"/>
    <w:rsid w:val="00D040C4"/>
    <w:rsid w:val="00D20AD1"/>
    <w:rsid w:val="00D21625"/>
    <w:rsid w:val="00D46B7E"/>
    <w:rsid w:val="00D57050"/>
    <w:rsid w:val="00D57C84"/>
    <w:rsid w:val="00D6057D"/>
    <w:rsid w:val="00D65EFA"/>
    <w:rsid w:val="00D66701"/>
    <w:rsid w:val="00D71640"/>
    <w:rsid w:val="00D836C5"/>
    <w:rsid w:val="00D84576"/>
    <w:rsid w:val="00DA1399"/>
    <w:rsid w:val="00DA24C6"/>
    <w:rsid w:val="00DA4D7B"/>
    <w:rsid w:val="00DD271C"/>
    <w:rsid w:val="00DE264A"/>
    <w:rsid w:val="00DF5072"/>
    <w:rsid w:val="00E02D18"/>
    <w:rsid w:val="00E041E7"/>
    <w:rsid w:val="00E12A92"/>
    <w:rsid w:val="00E23CA1"/>
    <w:rsid w:val="00E409A8"/>
    <w:rsid w:val="00E4425D"/>
    <w:rsid w:val="00E44CDC"/>
    <w:rsid w:val="00E50C12"/>
    <w:rsid w:val="00E57F08"/>
    <w:rsid w:val="00E65B91"/>
    <w:rsid w:val="00E7209D"/>
    <w:rsid w:val="00E72EAD"/>
    <w:rsid w:val="00E77223"/>
    <w:rsid w:val="00E8291C"/>
    <w:rsid w:val="00E8528B"/>
    <w:rsid w:val="00E85B94"/>
    <w:rsid w:val="00E96AAF"/>
    <w:rsid w:val="00E96ABC"/>
    <w:rsid w:val="00E978D0"/>
    <w:rsid w:val="00EA4613"/>
    <w:rsid w:val="00EA7F91"/>
    <w:rsid w:val="00EB1523"/>
    <w:rsid w:val="00EC0E49"/>
    <w:rsid w:val="00EC101F"/>
    <w:rsid w:val="00EC1D9F"/>
    <w:rsid w:val="00EC489B"/>
    <w:rsid w:val="00EE0131"/>
    <w:rsid w:val="00EE17B0"/>
    <w:rsid w:val="00EE5823"/>
    <w:rsid w:val="00EE7D8B"/>
    <w:rsid w:val="00EF06D9"/>
    <w:rsid w:val="00F07F50"/>
    <w:rsid w:val="00F3049E"/>
    <w:rsid w:val="00F30C64"/>
    <w:rsid w:val="00F32BA2"/>
    <w:rsid w:val="00F32CDB"/>
    <w:rsid w:val="00F42A65"/>
    <w:rsid w:val="00F565FE"/>
    <w:rsid w:val="00F63A70"/>
    <w:rsid w:val="00F63D8C"/>
    <w:rsid w:val="00F7534E"/>
    <w:rsid w:val="00F93EDF"/>
    <w:rsid w:val="00FA1802"/>
    <w:rsid w:val="00FA21D0"/>
    <w:rsid w:val="00FA5F5F"/>
    <w:rsid w:val="00FB1AAA"/>
    <w:rsid w:val="00FB730C"/>
    <w:rsid w:val="00FC0B75"/>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15B89A"/>
  <w15:docId w15:val="{AC7F3536-8FA0-433F-9664-8EFB038F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qFormat/>
    <w:rsid w:val="00280FAF"/>
    <w:pPr>
      <w:ind w:left="720"/>
      <w:contextualSpacing/>
    </w:pPr>
  </w:style>
  <w:style w:type="paragraph" w:customStyle="1" w:styleId="Default">
    <w:name w:val="Default"/>
    <w:rsid w:val="0058089D"/>
    <w:pPr>
      <w:autoSpaceDE w:val="0"/>
      <w:autoSpaceDN w:val="0"/>
      <w:adjustRightInd w:val="0"/>
      <w:spacing w:after="0" w:line="240" w:lineRule="auto"/>
    </w:pPr>
    <w:rPr>
      <w:rFonts w:ascii="Times New Roman" w:hAnsi="Times New Roman" w:cs="Times New Roman"/>
      <w:color w:val="000000"/>
      <w:sz w:val="24"/>
      <w:szCs w:val="24"/>
      <w:lang w:val="en-CA"/>
    </w:rPr>
  </w:style>
  <w:style w:type="character" w:styleId="TextodoEspaoReservado">
    <w:name w:val="Placeholder Text"/>
    <w:basedOn w:val="Fontepargpadro"/>
    <w:uiPriority w:val="99"/>
    <w:semiHidden/>
    <w:rsid w:val="00827A8B"/>
    <w:rPr>
      <w:color w:val="808080"/>
    </w:rPr>
  </w:style>
  <w:style w:type="character" w:customStyle="1" w:styleId="UnresolvedMention1">
    <w:name w:val="Unresolved Mention1"/>
    <w:basedOn w:val="Fontepargpadro"/>
    <w:uiPriority w:val="99"/>
    <w:semiHidden/>
    <w:unhideWhenUsed/>
    <w:rsid w:val="00276821"/>
    <w:rPr>
      <w:color w:val="605E5C"/>
      <w:shd w:val="clear" w:color="auto" w:fill="E1DFDD"/>
    </w:rPr>
  </w:style>
  <w:style w:type="character" w:styleId="nfase">
    <w:name w:val="Emphasis"/>
    <w:basedOn w:val="Fontepargpadro"/>
    <w:uiPriority w:val="20"/>
    <w:qFormat/>
    <w:rsid w:val="00970425"/>
    <w:rPr>
      <w:i/>
      <w:iCs/>
    </w:rPr>
  </w:style>
  <w:style w:type="paragraph" w:styleId="Reviso">
    <w:name w:val="Revision"/>
    <w:hidden/>
    <w:uiPriority w:val="99"/>
    <w:semiHidden/>
    <w:rsid w:val="0099307B"/>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748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smastr16.blob.core.windows.net/legislacao/sites/262/2022/07/2020resolucao_sima_047_2020.pdf" TargetMode="External"/><Relationship Id="rId2" Type="http://schemas.openxmlformats.org/officeDocument/2006/relationships/numbering" Target="numbering.xml"/><Relationship Id="rId16" Type="http://schemas.openxmlformats.org/officeDocument/2006/relationships/hyperlink" Target="https://www.ons.org.br/AcervoDigitalDocumentosEPublicacoes/CTA-ONS%20DGL%201496-2021%20-%20Avalia%C3%A7%C3%A3o%20das%20Condi%C3%A7%C3%B5es%20de%20Atendimento%20Eletroenerg%C3%A9tico%20do%20Sistema%20Interligado%20Nacional%20-%20S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mailto:emilioguimaraesf@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mili\Downloads\Artigo%20iChea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mili\Downloads\Artigo%20iChea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mili\Downloads\Artigo%20iCheap.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mili\Downloads\Artigo%20iChea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'Temperaturas de Gaseif.'!$C$3</c:f>
              <c:strCache>
                <c:ptCount val="1"/>
                <c:pt idx="0">
                  <c:v>CO</c:v>
                </c:pt>
              </c:strCache>
            </c:strRef>
          </c:tx>
          <c:spPr>
            <a:ln w="19050" cap="rnd">
              <a:solidFill>
                <a:schemeClr val="tx1"/>
              </a:solidFill>
              <a:prstDash val="sysDot"/>
              <a:round/>
            </a:ln>
            <a:effectLst/>
          </c:spPr>
          <c:marker>
            <c:symbol val="square"/>
            <c:size val="5"/>
            <c:spPr>
              <a:noFill/>
              <a:ln w="9525">
                <a:solidFill>
                  <a:schemeClr val="tx1"/>
                </a:solidFill>
              </a:ln>
              <a:effectLst/>
            </c:spPr>
          </c:marker>
          <c:cat>
            <c:numRef>
              <c:f>'Temperaturas de Gaseif.'!$B$4:$B$15</c:f>
              <c:numCache>
                <c:formatCode>0</c:formatCode>
                <c:ptCount val="12"/>
                <c:pt idx="0">
                  <c:v>550</c:v>
                </c:pt>
                <c:pt idx="1">
                  <c:v>600</c:v>
                </c:pt>
                <c:pt idx="2">
                  <c:v>650</c:v>
                </c:pt>
                <c:pt idx="3">
                  <c:v>700</c:v>
                </c:pt>
                <c:pt idx="4">
                  <c:v>750</c:v>
                </c:pt>
                <c:pt idx="5">
                  <c:v>800</c:v>
                </c:pt>
                <c:pt idx="6">
                  <c:v>850</c:v>
                </c:pt>
                <c:pt idx="7">
                  <c:v>900</c:v>
                </c:pt>
                <c:pt idx="8">
                  <c:v>950</c:v>
                </c:pt>
                <c:pt idx="9">
                  <c:v>1000</c:v>
                </c:pt>
                <c:pt idx="10">
                  <c:v>1050</c:v>
                </c:pt>
                <c:pt idx="11">
                  <c:v>1100</c:v>
                </c:pt>
              </c:numCache>
            </c:numRef>
          </c:cat>
          <c:val>
            <c:numRef>
              <c:f>'Temperaturas de Gaseif.'!$C$4:$C$15</c:f>
              <c:numCache>
                <c:formatCode>0.00</c:formatCode>
                <c:ptCount val="12"/>
                <c:pt idx="0">
                  <c:v>5.7583832600000003E-2</c:v>
                </c:pt>
                <c:pt idx="1">
                  <c:v>0.10980368100000003</c:v>
                </c:pt>
                <c:pt idx="2">
                  <c:v>0.18096472599999999</c:v>
                </c:pt>
                <c:pt idx="3">
                  <c:v>0.25652562800000001</c:v>
                </c:pt>
                <c:pt idx="4">
                  <c:v>0.3168291920000002</c:v>
                </c:pt>
                <c:pt idx="5">
                  <c:v>0.32511720900000013</c:v>
                </c:pt>
                <c:pt idx="6">
                  <c:v>0.32823231000000008</c:v>
                </c:pt>
                <c:pt idx="7">
                  <c:v>0.33043383100000012</c:v>
                </c:pt>
                <c:pt idx="8">
                  <c:v>0.3322550090000001</c:v>
                </c:pt>
                <c:pt idx="9">
                  <c:v>0.33384810100000023</c:v>
                </c:pt>
                <c:pt idx="10">
                  <c:v>0.33526674500000014</c:v>
                </c:pt>
                <c:pt idx="11">
                  <c:v>0.33653773700000011</c:v>
                </c:pt>
              </c:numCache>
            </c:numRef>
          </c:val>
          <c:smooth val="0"/>
          <c:extLst>
            <c:ext xmlns:c16="http://schemas.microsoft.com/office/drawing/2014/chart" uri="{C3380CC4-5D6E-409C-BE32-E72D297353CC}">
              <c16:uniqueId val="{00000000-C269-4381-8461-5F1EA2489FF8}"/>
            </c:ext>
          </c:extLst>
        </c:ser>
        <c:ser>
          <c:idx val="1"/>
          <c:order val="1"/>
          <c:tx>
            <c:strRef>
              <c:f>'Temperaturas de Gaseif.'!$D$3</c:f>
              <c:strCache>
                <c:ptCount val="1"/>
                <c:pt idx="0">
                  <c:v>CO2</c:v>
                </c:pt>
              </c:strCache>
            </c:strRef>
          </c:tx>
          <c:spPr>
            <a:ln w="19050" cap="rnd">
              <a:solidFill>
                <a:schemeClr val="tx1"/>
              </a:solidFill>
              <a:prstDash val="sysDot"/>
              <a:round/>
            </a:ln>
            <a:effectLst/>
          </c:spPr>
          <c:marker>
            <c:symbol val="triangle"/>
            <c:size val="5"/>
            <c:spPr>
              <a:solidFill>
                <a:schemeClr val="tx1"/>
              </a:solidFill>
              <a:ln w="9525">
                <a:solidFill>
                  <a:schemeClr val="tx1"/>
                </a:solidFill>
              </a:ln>
              <a:effectLst/>
            </c:spPr>
          </c:marker>
          <c:cat>
            <c:numRef>
              <c:f>'Temperaturas de Gaseif.'!$B$4:$B$15</c:f>
              <c:numCache>
                <c:formatCode>0</c:formatCode>
                <c:ptCount val="12"/>
                <c:pt idx="0">
                  <c:v>550</c:v>
                </c:pt>
                <c:pt idx="1">
                  <c:v>600</c:v>
                </c:pt>
                <c:pt idx="2">
                  <c:v>650</c:v>
                </c:pt>
                <c:pt idx="3">
                  <c:v>700</c:v>
                </c:pt>
                <c:pt idx="4">
                  <c:v>750</c:v>
                </c:pt>
                <c:pt idx="5">
                  <c:v>800</c:v>
                </c:pt>
                <c:pt idx="6">
                  <c:v>850</c:v>
                </c:pt>
                <c:pt idx="7">
                  <c:v>900</c:v>
                </c:pt>
                <c:pt idx="8">
                  <c:v>950</c:v>
                </c:pt>
                <c:pt idx="9">
                  <c:v>1000</c:v>
                </c:pt>
                <c:pt idx="10">
                  <c:v>1050</c:v>
                </c:pt>
                <c:pt idx="11">
                  <c:v>1100</c:v>
                </c:pt>
              </c:numCache>
            </c:numRef>
          </c:cat>
          <c:val>
            <c:numRef>
              <c:f>'Temperaturas de Gaseif.'!$D$4:$D$15</c:f>
              <c:numCache>
                <c:formatCode>0.00</c:formatCode>
                <c:ptCount val="12"/>
                <c:pt idx="0">
                  <c:v>0.163183941</c:v>
                </c:pt>
                <c:pt idx="1">
                  <c:v>0.141892621</c:v>
                </c:pt>
                <c:pt idx="2">
                  <c:v>0.10821443900000002</c:v>
                </c:pt>
                <c:pt idx="3">
                  <c:v>6.99577755E-2</c:v>
                </c:pt>
                <c:pt idx="4">
                  <c:v>3.8570128100000003E-2</c:v>
                </c:pt>
                <c:pt idx="5">
                  <c:v>3.2553604800000004E-2</c:v>
                </c:pt>
                <c:pt idx="6">
                  <c:v>2.9727840700000001E-2</c:v>
                </c:pt>
                <c:pt idx="7">
                  <c:v>2.7611305400000018E-2</c:v>
                </c:pt>
                <c:pt idx="8">
                  <c:v>2.5816943900000007E-2</c:v>
                </c:pt>
                <c:pt idx="9">
                  <c:v>2.4233057900000007E-2</c:v>
                </c:pt>
                <c:pt idx="10">
                  <c:v>2.2817839100000008E-2</c:v>
                </c:pt>
                <c:pt idx="11">
                  <c:v>2.154821840000001E-2</c:v>
                </c:pt>
              </c:numCache>
            </c:numRef>
          </c:val>
          <c:smooth val="0"/>
          <c:extLst>
            <c:ext xmlns:c16="http://schemas.microsoft.com/office/drawing/2014/chart" uri="{C3380CC4-5D6E-409C-BE32-E72D297353CC}">
              <c16:uniqueId val="{00000001-C269-4381-8461-5F1EA2489FF8}"/>
            </c:ext>
          </c:extLst>
        </c:ser>
        <c:ser>
          <c:idx val="2"/>
          <c:order val="2"/>
          <c:tx>
            <c:strRef>
              <c:f>'Temperaturas de Gaseif.'!$E$3</c:f>
              <c:strCache>
                <c:ptCount val="1"/>
                <c:pt idx="0">
                  <c:v>H2</c:v>
                </c:pt>
              </c:strCache>
            </c:strRef>
          </c:tx>
          <c:spPr>
            <a:ln w="19050" cap="rnd">
              <a:solidFill>
                <a:schemeClr val="tx1"/>
              </a:solidFill>
              <a:prstDash val="sysDot"/>
              <a:round/>
            </a:ln>
            <a:effectLst/>
          </c:spPr>
          <c:marker>
            <c:symbol val="triangle"/>
            <c:size val="5"/>
            <c:spPr>
              <a:noFill/>
              <a:ln w="9525">
                <a:solidFill>
                  <a:schemeClr val="tx1"/>
                </a:solidFill>
              </a:ln>
              <a:effectLst/>
            </c:spPr>
          </c:marker>
          <c:cat>
            <c:numRef>
              <c:f>'Temperaturas de Gaseif.'!$B$4:$B$15</c:f>
              <c:numCache>
                <c:formatCode>0</c:formatCode>
                <c:ptCount val="12"/>
                <c:pt idx="0">
                  <c:v>550</c:v>
                </c:pt>
                <c:pt idx="1">
                  <c:v>600</c:v>
                </c:pt>
                <c:pt idx="2">
                  <c:v>650</c:v>
                </c:pt>
                <c:pt idx="3">
                  <c:v>700</c:v>
                </c:pt>
                <c:pt idx="4">
                  <c:v>750</c:v>
                </c:pt>
                <c:pt idx="5">
                  <c:v>800</c:v>
                </c:pt>
                <c:pt idx="6">
                  <c:v>850</c:v>
                </c:pt>
                <c:pt idx="7">
                  <c:v>900</c:v>
                </c:pt>
                <c:pt idx="8">
                  <c:v>950</c:v>
                </c:pt>
                <c:pt idx="9">
                  <c:v>1000</c:v>
                </c:pt>
                <c:pt idx="10">
                  <c:v>1050</c:v>
                </c:pt>
                <c:pt idx="11">
                  <c:v>1100</c:v>
                </c:pt>
              </c:numCache>
            </c:numRef>
          </c:cat>
          <c:val>
            <c:numRef>
              <c:f>'Temperaturas de Gaseif.'!$E$4:$E$15</c:f>
              <c:numCache>
                <c:formatCode>0.00</c:formatCode>
                <c:ptCount val="12"/>
                <c:pt idx="0">
                  <c:v>0.17509024400000006</c:v>
                </c:pt>
                <c:pt idx="1">
                  <c:v>0.20975883600000006</c:v>
                </c:pt>
                <c:pt idx="2">
                  <c:v>0.23539795199999999</c:v>
                </c:pt>
                <c:pt idx="3">
                  <c:v>0.251638264</c:v>
                </c:pt>
                <c:pt idx="4">
                  <c:v>0.26103438800000001</c:v>
                </c:pt>
                <c:pt idx="5">
                  <c:v>0.26488506200000012</c:v>
                </c:pt>
                <c:pt idx="6">
                  <c:v>0.26463630700000002</c:v>
                </c:pt>
                <c:pt idx="7">
                  <c:v>0.26327670900000011</c:v>
                </c:pt>
                <c:pt idx="8">
                  <c:v>0.26172118600000005</c:v>
                </c:pt>
                <c:pt idx="9">
                  <c:v>0.26021929200000005</c:v>
                </c:pt>
                <c:pt idx="10">
                  <c:v>0.25883458200000009</c:v>
                </c:pt>
                <c:pt idx="11">
                  <c:v>0.25757717600000002</c:v>
                </c:pt>
              </c:numCache>
            </c:numRef>
          </c:val>
          <c:smooth val="0"/>
          <c:extLst>
            <c:ext xmlns:c16="http://schemas.microsoft.com/office/drawing/2014/chart" uri="{C3380CC4-5D6E-409C-BE32-E72D297353CC}">
              <c16:uniqueId val="{00000002-C269-4381-8461-5F1EA2489FF8}"/>
            </c:ext>
          </c:extLst>
        </c:ser>
        <c:ser>
          <c:idx val="3"/>
          <c:order val="3"/>
          <c:tx>
            <c:strRef>
              <c:f>'Temperaturas de Gaseif.'!$F$3</c:f>
              <c:strCache>
                <c:ptCount val="1"/>
                <c:pt idx="0">
                  <c:v>CH4</c:v>
                </c:pt>
              </c:strCache>
            </c:strRef>
          </c:tx>
          <c:spPr>
            <a:ln w="19050" cap="rnd">
              <a:solidFill>
                <a:schemeClr val="tx1"/>
              </a:solidFill>
              <a:prstDash val="sysDot"/>
              <a:round/>
            </a:ln>
            <a:effectLst/>
          </c:spPr>
          <c:marker>
            <c:symbol val="circle"/>
            <c:size val="5"/>
            <c:spPr>
              <a:noFill/>
              <a:ln w="9525">
                <a:solidFill>
                  <a:schemeClr val="tx1"/>
                </a:solidFill>
              </a:ln>
              <a:effectLst/>
            </c:spPr>
          </c:marker>
          <c:cat>
            <c:numRef>
              <c:f>'Temperaturas de Gaseif.'!$B$4:$B$15</c:f>
              <c:numCache>
                <c:formatCode>0</c:formatCode>
                <c:ptCount val="12"/>
                <c:pt idx="0">
                  <c:v>550</c:v>
                </c:pt>
                <c:pt idx="1">
                  <c:v>600</c:v>
                </c:pt>
                <c:pt idx="2">
                  <c:v>650</c:v>
                </c:pt>
                <c:pt idx="3">
                  <c:v>700</c:v>
                </c:pt>
                <c:pt idx="4">
                  <c:v>750</c:v>
                </c:pt>
                <c:pt idx="5">
                  <c:v>800</c:v>
                </c:pt>
                <c:pt idx="6">
                  <c:v>850</c:v>
                </c:pt>
                <c:pt idx="7">
                  <c:v>900</c:v>
                </c:pt>
                <c:pt idx="8">
                  <c:v>950</c:v>
                </c:pt>
                <c:pt idx="9">
                  <c:v>1000</c:v>
                </c:pt>
                <c:pt idx="10">
                  <c:v>1050</c:v>
                </c:pt>
                <c:pt idx="11">
                  <c:v>1100</c:v>
                </c:pt>
              </c:numCache>
            </c:numRef>
          </c:cat>
          <c:val>
            <c:numRef>
              <c:f>'Temperaturas de Gaseif.'!$F$4:$F$15</c:f>
              <c:numCache>
                <c:formatCode>0.00</c:formatCode>
                <c:ptCount val="12"/>
                <c:pt idx="0">
                  <c:v>2.7717306800000008E-2</c:v>
                </c:pt>
                <c:pt idx="1">
                  <c:v>1.8973137800000001E-2</c:v>
                </c:pt>
                <c:pt idx="2">
                  <c:v>1.2257676899999998E-2</c:v>
                </c:pt>
                <c:pt idx="3">
                  <c:v>7.6460773499999997E-3</c:v>
                </c:pt>
                <c:pt idx="4">
                  <c:v>4.7375688200000004E-3</c:v>
                </c:pt>
                <c:pt idx="5">
                  <c:v>1.4666149700000004E-3</c:v>
                </c:pt>
                <c:pt idx="6">
                  <c:v>4.4719743900000034E-4</c:v>
                </c:pt>
                <c:pt idx="7">
                  <c:v>1.4776649800000001E-4</c:v>
                </c:pt>
                <c:pt idx="8">
                  <c:v>5.3286619700000019E-5</c:v>
                </c:pt>
                <c:pt idx="9">
                  <c:v>2.0851819500000019E-5</c:v>
                </c:pt>
                <c:pt idx="10">
                  <c:v>8.783027510000009E-6</c:v>
                </c:pt>
                <c:pt idx="11">
                  <c:v>3.9512110900000023E-6</c:v>
                </c:pt>
              </c:numCache>
            </c:numRef>
          </c:val>
          <c:smooth val="0"/>
          <c:extLst>
            <c:ext xmlns:c16="http://schemas.microsoft.com/office/drawing/2014/chart" uri="{C3380CC4-5D6E-409C-BE32-E72D297353CC}">
              <c16:uniqueId val="{00000003-C269-4381-8461-5F1EA2489FF8}"/>
            </c:ext>
          </c:extLst>
        </c:ser>
        <c:ser>
          <c:idx val="4"/>
          <c:order val="4"/>
          <c:tx>
            <c:strRef>
              <c:f>'Temperaturas de Gaseif.'!$G$3</c:f>
              <c:strCache>
                <c:ptCount val="1"/>
                <c:pt idx="0">
                  <c:v>N2</c:v>
                </c:pt>
              </c:strCache>
            </c:strRef>
          </c:tx>
          <c:spPr>
            <a:ln w="19050" cap="rnd">
              <a:solidFill>
                <a:schemeClr val="tx1"/>
              </a:solidFill>
              <a:prstDash val="sysDot"/>
              <a:round/>
            </a:ln>
            <a:effectLst/>
          </c:spPr>
          <c:marker>
            <c:symbol val="circle"/>
            <c:size val="5"/>
            <c:spPr>
              <a:solidFill>
                <a:schemeClr val="tx1"/>
              </a:solidFill>
              <a:ln w="9525">
                <a:solidFill>
                  <a:schemeClr val="tx1"/>
                </a:solidFill>
              </a:ln>
              <a:effectLst/>
            </c:spPr>
          </c:marker>
          <c:cat>
            <c:numRef>
              <c:f>'Temperaturas de Gaseif.'!$B$4:$B$15</c:f>
              <c:numCache>
                <c:formatCode>0</c:formatCode>
                <c:ptCount val="12"/>
                <c:pt idx="0">
                  <c:v>550</c:v>
                </c:pt>
                <c:pt idx="1">
                  <c:v>600</c:v>
                </c:pt>
                <c:pt idx="2">
                  <c:v>650</c:v>
                </c:pt>
                <c:pt idx="3">
                  <c:v>700</c:v>
                </c:pt>
                <c:pt idx="4">
                  <c:v>750</c:v>
                </c:pt>
                <c:pt idx="5">
                  <c:v>800</c:v>
                </c:pt>
                <c:pt idx="6">
                  <c:v>850</c:v>
                </c:pt>
                <c:pt idx="7">
                  <c:v>900</c:v>
                </c:pt>
                <c:pt idx="8">
                  <c:v>950</c:v>
                </c:pt>
                <c:pt idx="9">
                  <c:v>1000</c:v>
                </c:pt>
                <c:pt idx="10">
                  <c:v>1050</c:v>
                </c:pt>
                <c:pt idx="11">
                  <c:v>1100</c:v>
                </c:pt>
              </c:numCache>
            </c:numRef>
          </c:cat>
          <c:val>
            <c:numRef>
              <c:f>'Temperaturas de Gaseif.'!$G$4:$G$15</c:f>
              <c:numCache>
                <c:formatCode>0.00</c:formatCode>
                <c:ptCount val="12"/>
                <c:pt idx="0">
                  <c:v>0.43841804300000015</c:v>
                </c:pt>
                <c:pt idx="1">
                  <c:v>0.41686375000000009</c:v>
                </c:pt>
                <c:pt idx="2">
                  <c:v>0.39285067100000026</c:v>
                </c:pt>
                <c:pt idx="3">
                  <c:v>0.37007767400000013</c:v>
                </c:pt>
                <c:pt idx="4">
                  <c:v>0.35278737100000013</c:v>
                </c:pt>
                <c:pt idx="5">
                  <c:v>0.34977614299999998</c:v>
                </c:pt>
                <c:pt idx="6">
                  <c:v>0.3490650930000001</c:v>
                </c:pt>
                <c:pt idx="7">
                  <c:v>0.34885623800000015</c:v>
                </c:pt>
                <c:pt idx="8">
                  <c:v>0.34879033700000001</c:v>
                </c:pt>
                <c:pt idx="9">
                  <c:v>0.34876771400000001</c:v>
                </c:pt>
                <c:pt idx="10">
                  <c:v>0.348759296</c:v>
                </c:pt>
                <c:pt idx="11">
                  <c:v>0.34875592600000005</c:v>
                </c:pt>
              </c:numCache>
            </c:numRef>
          </c:val>
          <c:smooth val="0"/>
          <c:extLst>
            <c:ext xmlns:c16="http://schemas.microsoft.com/office/drawing/2014/chart" uri="{C3380CC4-5D6E-409C-BE32-E72D297353CC}">
              <c16:uniqueId val="{00000004-C269-4381-8461-5F1EA2489FF8}"/>
            </c:ext>
          </c:extLst>
        </c:ser>
        <c:dLbls>
          <c:showLegendKey val="0"/>
          <c:showVal val="0"/>
          <c:showCatName val="0"/>
          <c:showSerName val="0"/>
          <c:showPercent val="0"/>
          <c:showBubbleSize val="0"/>
        </c:dLbls>
        <c:marker val="1"/>
        <c:smooth val="0"/>
        <c:axId val="70314240"/>
        <c:axId val="78472320"/>
      </c:lineChart>
      <c:lineChart>
        <c:grouping val="standard"/>
        <c:varyColors val="0"/>
        <c:ser>
          <c:idx val="5"/>
          <c:order val="5"/>
          <c:tx>
            <c:strRef>
              <c:f>'Temperaturas de Gaseif.'!$H$3</c:f>
              <c:strCache>
                <c:ptCount val="1"/>
                <c:pt idx="0">
                  <c:v>LHV (MJ/kg)</c:v>
                </c:pt>
              </c:strCache>
            </c:strRef>
          </c:tx>
          <c:spPr>
            <a:ln w="19050" cap="rnd">
              <a:solidFill>
                <a:srgbClr val="C00000"/>
              </a:solidFill>
              <a:prstDash val="sysDash"/>
              <a:round/>
            </a:ln>
            <a:effectLst/>
          </c:spPr>
          <c:marker>
            <c:symbol val="diamond"/>
            <c:size val="5"/>
            <c:spPr>
              <a:solidFill>
                <a:srgbClr val="C00000"/>
              </a:solidFill>
              <a:ln w="9525">
                <a:solidFill>
                  <a:srgbClr val="C00000"/>
                </a:solidFill>
              </a:ln>
              <a:effectLst/>
            </c:spPr>
          </c:marker>
          <c:cat>
            <c:numRef>
              <c:f>'Temperaturas de Gaseif.'!$B$4:$B$11</c:f>
              <c:numCache>
                <c:formatCode>0</c:formatCode>
                <c:ptCount val="8"/>
                <c:pt idx="0">
                  <c:v>550</c:v>
                </c:pt>
                <c:pt idx="1">
                  <c:v>600</c:v>
                </c:pt>
                <c:pt idx="2">
                  <c:v>650</c:v>
                </c:pt>
                <c:pt idx="3">
                  <c:v>700</c:v>
                </c:pt>
                <c:pt idx="4">
                  <c:v>750</c:v>
                </c:pt>
                <c:pt idx="5">
                  <c:v>800</c:v>
                </c:pt>
                <c:pt idx="6">
                  <c:v>850</c:v>
                </c:pt>
                <c:pt idx="7">
                  <c:v>900</c:v>
                </c:pt>
              </c:numCache>
            </c:numRef>
          </c:cat>
          <c:val>
            <c:numRef>
              <c:f>'Temperaturas de Gaseif.'!$H$4:$H$15</c:f>
              <c:numCache>
                <c:formatCode>0.00</c:formatCode>
                <c:ptCount val="12"/>
                <c:pt idx="0">
                  <c:v>3.3658422999999988</c:v>
                </c:pt>
                <c:pt idx="1">
                  <c:v>4.157985379999996</c:v>
                </c:pt>
                <c:pt idx="2">
                  <c:v>5.2187323900000004</c:v>
                </c:pt>
                <c:pt idx="3">
                  <c:v>6.36302111</c:v>
                </c:pt>
                <c:pt idx="4">
                  <c:v>7.3057570900000002</c:v>
                </c:pt>
                <c:pt idx="5">
                  <c:v>7.3899393800000004</c:v>
                </c:pt>
                <c:pt idx="6">
                  <c:v>7.4050091900000021</c:v>
                </c:pt>
                <c:pt idx="7">
                  <c:v>7.4119331600000002</c:v>
                </c:pt>
                <c:pt idx="8">
                  <c:v>7.4162967399999999</c:v>
                </c:pt>
                <c:pt idx="9">
                  <c:v>7.4196658000000015</c:v>
                </c:pt>
                <c:pt idx="10">
                  <c:v>7.4225157199999963</c:v>
                </c:pt>
                <c:pt idx="11">
                  <c:v>7.4250155599999967</c:v>
                </c:pt>
              </c:numCache>
            </c:numRef>
          </c:val>
          <c:smooth val="0"/>
          <c:extLst>
            <c:ext xmlns:c16="http://schemas.microsoft.com/office/drawing/2014/chart" uri="{C3380CC4-5D6E-409C-BE32-E72D297353CC}">
              <c16:uniqueId val="{00000005-C269-4381-8461-5F1EA2489FF8}"/>
            </c:ext>
          </c:extLst>
        </c:ser>
        <c:dLbls>
          <c:showLegendKey val="0"/>
          <c:showVal val="0"/>
          <c:showCatName val="0"/>
          <c:showSerName val="0"/>
          <c:showPercent val="0"/>
          <c:showBubbleSize val="0"/>
        </c:dLbls>
        <c:marker val="1"/>
        <c:smooth val="0"/>
        <c:axId val="78678272"/>
        <c:axId val="78476032"/>
      </c:lineChart>
      <c:catAx>
        <c:axId val="70314240"/>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pt-BR"/>
                  <a:t>Gasification</a:t>
                </a:r>
                <a:r>
                  <a:rPr lang="pt-BR" baseline="0"/>
                  <a:t> Temperature (</a:t>
                </a:r>
                <a:r>
                  <a:rPr lang="pt-BR" baseline="0">
                    <a:latin typeface="Calibri" panose="020F0502020204030204" pitchFamily="34" charset="0"/>
                    <a:cs typeface="Calibri" panose="020F0502020204030204" pitchFamily="34" charset="0"/>
                  </a:rPr>
                  <a:t>°C)</a:t>
                </a:r>
                <a:endParaRPr lang="pt-BR"/>
              </a:p>
            </c:rich>
          </c:tx>
          <c:overlay val="0"/>
          <c:spPr>
            <a:noFill/>
            <a:ln>
              <a:noFill/>
            </a:ln>
            <a:effectLst/>
          </c:sp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pt-BR"/>
          </a:p>
        </c:txPr>
        <c:crossAx val="78472320"/>
        <c:crosses val="autoZero"/>
        <c:auto val="1"/>
        <c:lblAlgn val="ctr"/>
        <c:lblOffset val="100"/>
        <c:noMultiLvlLbl val="0"/>
      </c:catAx>
      <c:valAx>
        <c:axId val="78472320"/>
        <c:scaling>
          <c:orientation val="minMax"/>
          <c:max val="0.5"/>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pt-BR"/>
                  <a:t>Molar Fraction</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pt-BR"/>
          </a:p>
        </c:txPr>
        <c:crossAx val="70314240"/>
        <c:crosses val="autoZero"/>
        <c:crossBetween val="between"/>
      </c:valAx>
      <c:valAx>
        <c:axId val="78476032"/>
        <c:scaling>
          <c:orientation val="minMax"/>
        </c:scaling>
        <c:delete val="0"/>
        <c:axPos val="r"/>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pt-BR"/>
                  <a:t>Dry</a:t>
                </a:r>
                <a:r>
                  <a:rPr lang="pt-BR" baseline="0"/>
                  <a:t> Cold Syngas LHV (MJ/kg)</a:t>
                </a:r>
                <a:endParaRPr lang="pt-BR"/>
              </a:p>
            </c:rich>
          </c:tx>
          <c:overlay val="0"/>
          <c:spPr>
            <a:noFill/>
            <a:ln>
              <a:noFill/>
            </a:ln>
            <a:effectLst/>
          </c:sp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pt-BR"/>
          </a:p>
        </c:txPr>
        <c:crossAx val="78678272"/>
        <c:crosses val="max"/>
        <c:crossBetween val="between"/>
      </c:valAx>
      <c:catAx>
        <c:axId val="78678272"/>
        <c:scaling>
          <c:orientation val="minMax"/>
        </c:scaling>
        <c:delete val="1"/>
        <c:axPos val="b"/>
        <c:numFmt formatCode="0" sourceLinked="1"/>
        <c:majorTickMark val="out"/>
        <c:minorTickMark val="none"/>
        <c:tickLblPos val="nextTo"/>
        <c:crossAx val="78476032"/>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'Gaseificador (750 °C)'!$F$3</c:f>
              <c:strCache>
                <c:ptCount val="1"/>
                <c:pt idx="0">
                  <c:v>CO</c:v>
                </c:pt>
              </c:strCache>
            </c:strRef>
          </c:tx>
          <c:spPr>
            <a:ln w="19050" cap="rnd">
              <a:solidFill>
                <a:schemeClr val="tx1"/>
              </a:solidFill>
              <a:prstDash val="sysDot"/>
              <a:round/>
            </a:ln>
            <a:effectLst/>
          </c:spPr>
          <c:marker>
            <c:symbol val="square"/>
            <c:size val="5"/>
            <c:spPr>
              <a:solidFill>
                <a:schemeClr val="bg1"/>
              </a:solidFill>
              <a:ln w="9525">
                <a:solidFill>
                  <a:schemeClr val="tx1"/>
                </a:solidFill>
              </a:ln>
              <a:effectLst/>
            </c:spPr>
          </c:marker>
          <c:xVal>
            <c:numRef>
              <c:f>'Gaseificador (750 °C)'!$E$4:$E$16</c:f>
              <c:numCache>
                <c:formatCode>0.00</c:formatCode>
                <c:ptCount val="13"/>
                <c:pt idx="0">
                  <c:v>0</c:v>
                </c:pt>
                <c:pt idx="1">
                  <c:v>8.4602368866328284E-2</c:v>
                </c:pt>
                <c:pt idx="2">
                  <c:v>0.16920473773265651</c:v>
                </c:pt>
                <c:pt idx="3">
                  <c:v>0.25380710659898476</c:v>
                </c:pt>
                <c:pt idx="4">
                  <c:v>0.33840947546531325</c:v>
                </c:pt>
                <c:pt idx="5">
                  <c:v>0.42301184433164141</c:v>
                </c:pt>
                <c:pt idx="6">
                  <c:v>0.50761421319796951</c:v>
                </c:pt>
                <c:pt idx="7">
                  <c:v>0.59221658206429739</c:v>
                </c:pt>
                <c:pt idx="8">
                  <c:v>0.67681895093062605</c:v>
                </c:pt>
                <c:pt idx="9">
                  <c:v>0.76142131979695427</c:v>
                </c:pt>
                <c:pt idx="10">
                  <c:v>0.84602368866328292</c:v>
                </c:pt>
                <c:pt idx="11">
                  <c:v>0.93062605752961103</c:v>
                </c:pt>
                <c:pt idx="12">
                  <c:v>1.015228426395939</c:v>
                </c:pt>
              </c:numCache>
            </c:numRef>
          </c:xVal>
          <c:yVal>
            <c:numRef>
              <c:f>'Gaseificador (750 °C)'!$F$4:$F$16</c:f>
              <c:numCache>
                <c:formatCode>0.00</c:formatCode>
                <c:ptCount val="13"/>
                <c:pt idx="0">
                  <c:v>0.43377792100000012</c:v>
                </c:pt>
                <c:pt idx="1">
                  <c:v>0.4076714970000001</c:v>
                </c:pt>
                <c:pt idx="2">
                  <c:v>0.38002833500000022</c:v>
                </c:pt>
                <c:pt idx="3">
                  <c:v>0.30903246500000014</c:v>
                </c:pt>
                <c:pt idx="4">
                  <c:v>0.24884246500000007</c:v>
                </c:pt>
                <c:pt idx="5">
                  <c:v>0.19707923699999999</c:v>
                </c:pt>
                <c:pt idx="6">
                  <c:v>0.15198248800000011</c:v>
                </c:pt>
                <c:pt idx="7">
                  <c:v>0.11225831999999995</c:v>
                </c:pt>
                <c:pt idx="8">
                  <c:v>7.6935953099999996E-2</c:v>
                </c:pt>
                <c:pt idx="9">
                  <c:v>4.5273028399999971E-2</c:v>
                </c:pt>
                <c:pt idx="10">
                  <c:v>1.6692064700000005E-2</c:v>
                </c:pt>
                <c:pt idx="11">
                  <c:v>7.4274258200000033E-8</c:v>
                </c:pt>
                <c:pt idx="12">
                  <c:v>3.5627982600000037E-8</c:v>
                </c:pt>
              </c:numCache>
            </c:numRef>
          </c:yVal>
          <c:smooth val="1"/>
          <c:extLst>
            <c:ext xmlns:c16="http://schemas.microsoft.com/office/drawing/2014/chart" uri="{C3380CC4-5D6E-409C-BE32-E72D297353CC}">
              <c16:uniqueId val="{00000000-8ED6-41BE-BB1D-6D904EB9BDA0}"/>
            </c:ext>
          </c:extLst>
        </c:ser>
        <c:ser>
          <c:idx val="1"/>
          <c:order val="1"/>
          <c:tx>
            <c:strRef>
              <c:f>'Gaseificador (750 °C)'!$G$3</c:f>
              <c:strCache>
                <c:ptCount val="1"/>
                <c:pt idx="0">
                  <c:v>CO2</c:v>
                </c:pt>
              </c:strCache>
            </c:strRef>
          </c:tx>
          <c:spPr>
            <a:ln w="19050" cap="rnd">
              <a:solidFill>
                <a:schemeClr val="tx1"/>
              </a:solidFill>
              <a:prstDash val="sysDot"/>
              <a:round/>
            </a:ln>
            <a:effectLst/>
          </c:spPr>
          <c:marker>
            <c:symbol val="triangle"/>
            <c:size val="5"/>
            <c:spPr>
              <a:solidFill>
                <a:schemeClr val="tx1"/>
              </a:solidFill>
              <a:ln w="9525">
                <a:solidFill>
                  <a:schemeClr val="tx1"/>
                </a:solidFill>
              </a:ln>
              <a:effectLst/>
            </c:spPr>
          </c:marker>
          <c:xVal>
            <c:numRef>
              <c:f>'Gaseificador (750 °C)'!$E$4:$E$16</c:f>
              <c:numCache>
                <c:formatCode>0.00</c:formatCode>
                <c:ptCount val="13"/>
                <c:pt idx="0">
                  <c:v>0</c:v>
                </c:pt>
                <c:pt idx="1">
                  <c:v>8.4602368866328284E-2</c:v>
                </c:pt>
                <c:pt idx="2">
                  <c:v>0.16920473773265651</c:v>
                </c:pt>
                <c:pt idx="3">
                  <c:v>0.25380710659898476</c:v>
                </c:pt>
                <c:pt idx="4">
                  <c:v>0.33840947546531325</c:v>
                </c:pt>
                <c:pt idx="5">
                  <c:v>0.42301184433164141</c:v>
                </c:pt>
                <c:pt idx="6">
                  <c:v>0.50761421319796951</c:v>
                </c:pt>
                <c:pt idx="7">
                  <c:v>0.59221658206429739</c:v>
                </c:pt>
                <c:pt idx="8">
                  <c:v>0.67681895093062605</c:v>
                </c:pt>
                <c:pt idx="9">
                  <c:v>0.76142131979695427</c:v>
                </c:pt>
                <c:pt idx="10">
                  <c:v>0.84602368866328292</c:v>
                </c:pt>
                <c:pt idx="11">
                  <c:v>0.93062605752961103</c:v>
                </c:pt>
                <c:pt idx="12">
                  <c:v>1.015228426395939</c:v>
                </c:pt>
              </c:numCache>
            </c:numRef>
          </c:xVal>
          <c:yVal>
            <c:numRef>
              <c:f>'Gaseificador (750 °C)'!$G$4:$G$16</c:f>
              <c:numCache>
                <c:formatCode>0.00</c:formatCode>
                <c:ptCount val="13"/>
                <c:pt idx="0">
                  <c:v>2.9526898700000001E-3</c:v>
                </c:pt>
                <c:pt idx="1">
                  <c:v>2.6154628899999997E-3</c:v>
                </c:pt>
                <c:pt idx="2">
                  <c:v>9.4868437200000006E-3</c:v>
                </c:pt>
                <c:pt idx="3">
                  <c:v>4.2579114299999971E-2</c:v>
                </c:pt>
                <c:pt idx="4">
                  <c:v>7.1152104800000004E-2</c:v>
                </c:pt>
                <c:pt idx="5">
                  <c:v>9.6147605100000005E-2</c:v>
                </c:pt>
                <c:pt idx="6">
                  <c:v>0.11829842800000002</c:v>
                </c:pt>
                <c:pt idx="7">
                  <c:v>0.138143128</c:v>
                </c:pt>
                <c:pt idx="8">
                  <c:v>0.15608466400000001</c:v>
                </c:pt>
                <c:pt idx="9">
                  <c:v>0.17243018100000007</c:v>
                </c:pt>
                <c:pt idx="10">
                  <c:v>0.18741786600000007</c:v>
                </c:pt>
                <c:pt idx="11">
                  <c:v>0.18973118300000011</c:v>
                </c:pt>
                <c:pt idx="12">
                  <c:v>0.173720762</c:v>
                </c:pt>
              </c:numCache>
            </c:numRef>
          </c:yVal>
          <c:smooth val="1"/>
          <c:extLst>
            <c:ext xmlns:c16="http://schemas.microsoft.com/office/drawing/2014/chart" uri="{C3380CC4-5D6E-409C-BE32-E72D297353CC}">
              <c16:uniqueId val="{00000001-8ED6-41BE-BB1D-6D904EB9BDA0}"/>
            </c:ext>
          </c:extLst>
        </c:ser>
        <c:ser>
          <c:idx val="2"/>
          <c:order val="2"/>
          <c:tx>
            <c:strRef>
              <c:f>'Gaseificador (750 °C)'!$H$3</c:f>
              <c:strCache>
                <c:ptCount val="1"/>
                <c:pt idx="0">
                  <c:v>CH4</c:v>
                </c:pt>
              </c:strCache>
            </c:strRef>
          </c:tx>
          <c:spPr>
            <a:ln w="19050" cap="rnd">
              <a:solidFill>
                <a:schemeClr val="tx1"/>
              </a:solidFill>
              <a:prstDash val="sysDot"/>
              <a:round/>
            </a:ln>
            <a:effectLst/>
          </c:spPr>
          <c:marker>
            <c:symbol val="circle"/>
            <c:size val="5"/>
            <c:spPr>
              <a:solidFill>
                <a:schemeClr val="bg1"/>
              </a:solidFill>
              <a:ln w="9525">
                <a:solidFill>
                  <a:schemeClr val="tx1"/>
                </a:solidFill>
              </a:ln>
              <a:effectLst/>
            </c:spPr>
          </c:marker>
          <c:xVal>
            <c:numRef>
              <c:f>'Gaseificador (750 °C)'!$E$4:$E$16</c:f>
              <c:numCache>
                <c:formatCode>0.00</c:formatCode>
                <c:ptCount val="13"/>
                <c:pt idx="0">
                  <c:v>0</c:v>
                </c:pt>
                <c:pt idx="1">
                  <c:v>8.4602368866328284E-2</c:v>
                </c:pt>
                <c:pt idx="2">
                  <c:v>0.16920473773265651</c:v>
                </c:pt>
                <c:pt idx="3">
                  <c:v>0.25380710659898476</c:v>
                </c:pt>
                <c:pt idx="4">
                  <c:v>0.33840947546531325</c:v>
                </c:pt>
                <c:pt idx="5">
                  <c:v>0.42301184433164141</c:v>
                </c:pt>
                <c:pt idx="6">
                  <c:v>0.50761421319796951</c:v>
                </c:pt>
                <c:pt idx="7">
                  <c:v>0.59221658206429739</c:v>
                </c:pt>
                <c:pt idx="8">
                  <c:v>0.67681895093062605</c:v>
                </c:pt>
                <c:pt idx="9">
                  <c:v>0.76142131979695427</c:v>
                </c:pt>
                <c:pt idx="10">
                  <c:v>0.84602368866328292</c:v>
                </c:pt>
                <c:pt idx="11">
                  <c:v>0.93062605752961103</c:v>
                </c:pt>
                <c:pt idx="12">
                  <c:v>1.015228426395939</c:v>
                </c:pt>
              </c:numCache>
            </c:numRef>
          </c:xVal>
          <c:yVal>
            <c:numRef>
              <c:f>'Gaseificador (750 °C)'!$H$4:$H$16</c:f>
              <c:numCache>
                <c:formatCode>0.00E+00</c:formatCode>
                <c:ptCount val="13"/>
                <c:pt idx="0">
                  <c:v>3.4400629500000008E-3</c:v>
                </c:pt>
                <c:pt idx="1">
                  <c:v>1.7565766599999999E-3</c:v>
                </c:pt>
                <c:pt idx="2">
                  <c:v>2.5165618300000009E-4</c:v>
                </c:pt>
                <c:pt idx="3">
                  <c:v>2.1064876100000008E-5</c:v>
                </c:pt>
                <c:pt idx="4">
                  <c:v>4.6215513200000004E-6</c:v>
                </c:pt>
                <c:pt idx="5">
                  <c:v>1.1879039500000004E-6</c:v>
                </c:pt>
                <c:pt idx="6">
                  <c:v>3.0431958400000031E-7</c:v>
                </c:pt>
                <c:pt idx="7">
                  <c:v>6.9644691200000046E-8</c:v>
                </c:pt>
                <c:pt idx="8">
                  <c:v>1.2283539500000013E-8</c:v>
                </c:pt>
                <c:pt idx="9">
                  <c:v>1.2103352500000005E-9</c:v>
                </c:pt>
                <c:pt idx="10">
                  <c:v>1.8759773700000023E-11</c:v>
                </c:pt>
                <c:pt idx="11">
                  <c:v>0</c:v>
                </c:pt>
                <c:pt idx="12">
                  <c:v>0</c:v>
                </c:pt>
              </c:numCache>
            </c:numRef>
          </c:yVal>
          <c:smooth val="1"/>
          <c:extLst>
            <c:ext xmlns:c16="http://schemas.microsoft.com/office/drawing/2014/chart" uri="{C3380CC4-5D6E-409C-BE32-E72D297353CC}">
              <c16:uniqueId val="{00000002-8ED6-41BE-BB1D-6D904EB9BDA0}"/>
            </c:ext>
          </c:extLst>
        </c:ser>
        <c:ser>
          <c:idx val="3"/>
          <c:order val="3"/>
          <c:tx>
            <c:strRef>
              <c:f>'Gaseificador (750 °C)'!$I$3</c:f>
              <c:strCache>
                <c:ptCount val="1"/>
                <c:pt idx="0">
                  <c:v>H2</c:v>
                </c:pt>
              </c:strCache>
            </c:strRef>
          </c:tx>
          <c:spPr>
            <a:ln w="19050" cap="rnd">
              <a:solidFill>
                <a:schemeClr val="tx1"/>
              </a:solidFill>
              <a:prstDash val="sysDot"/>
              <a:round/>
            </a:ln>
            <a:effectLst/>
          </c:spPr>
          <c:marker>
            <c:symbol val="triangle"/>
            <c:size val="5"/>
            <c:spPr>
              <a:solidFill>
                <a:schemeClr val="bg1"/>
              </a:solidFill>
              <a:ln w="9525">
                <a:solidFill>
                  <a:schemeClr val="tx1"/>
                </a:solidFill>
              </a:ln>
              <a:effectLst/>
            </c:spPr>
          </c:marker>
          <c:xVal>
            <c:numRef>
              <c:f>'Gaseificador (750 °C)'!$E$4:$E$16</c:f>
              <c:numCache>
                <c:formatCode>0.00</c:formatCode>
                <c:ptCount val="13"/>
                <c:pt idx="0">
                  <c:v>0</c:v>
                </c:pt>
                <c:pt idx="1">
                  <c:v>8.4602368866328284E-2</c:v>
                </c:pt>
                <c:pt idx="2">
                  <c:v>0.16920473773265651</c:v>
                </c:pt>
                <c:pt idx="3">
                  <c:v>0.25380710659898476</c:v>
                </c:pt>
                <c:pt idx="4">
                  <c:v>0.33840947546531325</c:v>
                </c:pt>
                <c:pt idx="5">
                  <c:v>0.42301184433164141</c:v>
                </c:pt>
                <c:pt idx="6">
                  <c:v>0.50761421319796951</c:v>
                </c:pt>
                <c:pt idx="7">
                  <c:v>0.59221658206429739</c:v>
                </c:pt>
                <c:pt idx="8">
                  <c:v>0.67681895093062605</c:v>
                </c:pt>
                <c:pt idx="9">
                  <c:v>0.76142131979695427</c:v>
                </c:pt>
                <c:pt idx="10">
                  <c:v>0.84602368866328292</c:v>
                </c:pt>
                <c:pt idx="11">
                  <c:v>0.93062605752961103</c:v>
                </c:pt>
                <c:pt idx="12">
                  <c:v>1.015228426395939</c:v>
                </c:pt>
              </c:numCache>
            </c:numRef>
          </c:xVal>
          <c:yVal>
            <c:numRef>
              <c:f>'Gaseificador (750 °C)'!$I$4:$I$16</c:f>
              <c:numCache>
                <c:formatCode>0.00</c:formatCode>
                <c:ptCount val="13"/>
                <c:pt idx="0">
                  <c:v>0.54977427999999995</c:v>
                </c:pt>
                <c:pt idx="1">
                  <c:v>0.3922934010000001</c:v>
                </c:pt>
                <c:pt idx="2">
                  <c:v>0.30541348600000012</c:v>
                </c:pt>
                <c:pt idx="3">
                  <c:v>0.23842998600000007</c:v>
                </c:pt>
                <c:pt idx="4">
                  <c:v>0.18414079400000005</c:v>
                </c:pt>
                <c:pt idx="5">
                  <c:v>0.139867927</c:v>
                </c:pt>
                <c:pt idx="6">
                  <c:v>0.103456532</c:v>
                </c:pt>
                <c:pt idx="7">
                  <c:v>7.3306191000000034E-2</c:v>
                </c:pt>
                <c:pt idx="8">
                  <c:v>4.8207099099999984E-2</c:v>
                </c:pt>
                <c:pt idx="9">
                  <c:v>2.7227723400000008E-2</c:v>
                </c:pt>
                <c:pt idx="10">
                  <c:v>9.6389374400000002E-3</c:v>
                </c:pt>
                <c:pt idx="11">
                  <c:v>4.2093408100000044E-8</c:v>
                </c:pt>
                <c:pt idx="12">
                  <c:v>2.019226960000001E-8</c:v>
                </c:pt>
              </c:numCache>
            </c:numRef>
          </c:yVal>
          <c:smooth val="1"/>
          <c:extLst>
            <c:ext xmlns:c16="http://schemas.microsoft.com/office/drawing/2014/chart" uri="{C3380CC4-5D6E-409C-BE32-E72D297353CC}">
              <c16:uniqueId val="{00000003-8ED6-41BE-BB1D-6D904EB9BDA0}"/>
            </c:ext>
          </c:extLst>
        </c:ser>
        <c:ser>
          <c:idx val="4"/>
          <c:order val="4"/>
          <c:tx>
            <c:strRef>
              <c:f>'Gaseificador (750 °C)'!$J$3</c:f>
              <c:strCache>
                <c:ptCount val="1"/>
                <c:pt idx="0">
                  <c:v>N2</c:v>
                </c:pt>
              </c:strCache>
            </c:strRef>
          </c:tx>
          <c:spPr>
            <a:ln w="19050" cap="rnd">
              <a:solidFill>
                <a:schemeClr val="tx1"/>
              </a:solidFill>
              <a:prstDash val="sysDot"/>
              <a:round/>
            </a:ln>
            <a:effectLst/>
          </c:spPr>
          <c:marker>
            <c:symbol val="circle"/>
            <c:size val="5"/>
            <c:spPr>
              <a:solidFill>
                <a:schemeClr val="tx1"/>
              </a:solidFill>
              <a:ln w="9525">
                <a:solidFill>
                  <a:schemeClr val="tx1"/>
                </a:solidFill>
              </a:ln>
              <a:effectLst/>
            </c:spPr>
          </c:marker>
          <c:xVal>
            <c:numRef>
              <c:f>'Gaseificador (750 °C)'!$E$4:$E$16</c:f>
              <c:numCache>
                <c:formatCode>0.00</c:formatCode>
                <c:ptCount val="13"/>
                <c:pt idx="0">
                  <c:v>0</c:v>
                </c:pt>
                <c:pt idx="1">
                  <c:v>8.4602368866328284E-2</c:v>
                </c:pt>
                <c:pt idx="2">
                  <c:v>0.16920473773265651</c:v>
                </c:pt>
                <c:pt idx="3">
                  <c:v>0.25380710659898476</c:v>
                </c:pt>
                <c:pt idx="4">
                  <c:v>0.33840947546531325</c:v>
                </c:pt>
                <c:pt idx="5">
                  <c:v>0.42301184433164141</c:v>
                </c:pt>
                <c:pt idx="6">
                  <c:v>0.50761421319796951</c:v>
                </c:pt>
                <c:pt idx="7">
                  <c:v>0.59221658206429739</c:v>
                </c:pt>
                <c:pt idx="8">
                  <c:v>0.67681895093062605</c:v>
                </c:pt>
                <c:pt idx="9">
                  <c:v>0.76142131979695427</c:v>
                </c:pt>
                <c:pt idx="10">
                  <c:v>0.84602368866328292</c:v>
                </c:pt>
                <c:pt idx="11">
                  <c:v>0.93062605752961103</c:v>
                </c:pt>
                <c:pt idx="12">
                  <c:v>1.015228426395939</c:v>
                </c:pt>
              </c:numCache>
            </c:numRef>
          </c:xVal>
          <c:yVal>
            <c:numRef>
              <c:f>'Gaseificador (750 °C)'!$J$4:$J$16</c:f>
              <c:numCache>
                <c:formatCode>0.00</c:formatCode>
                <c:ptCount val="13"/>
                <c:pt idx="0">
                  <c:v>1.0055046199999996E-2</c:v>
                </c:pt>
                <c:pt idx="1">
                  <c:v>0.195663062</c:v>
                </c:pt>
                <c:pt idx="2">
                  <c:v>0.3048196780000002</c:v>
                </c:pt>
                <c:pt idx="3">
                  <c:v>0.40993737000000002</c:v>
                </c:pt>
                <c:pt idx="4">
                  <c:v>0.49586001500000021</c:v>
                </c:pt>
                <c:pt idx="5">
                  <c:v>0.56690404200000022</c:v>
                </c:pt>
                <c:pt idx="6">
                  <c:v>0.62626224799999997</c:v>
                </c:pt>
                <c:pt idx="7">
                  <c:v>0.67629229100000021</c:v>
                </c:pt>
                <c:pt idx="8">
                  <c:v>0.71877227200000038</c:v>
                </c:pt>
                <c:pt idx="9">
                  <c:v>0.75506906600000023</c:v>
                </c:pt>
                <c:pt idx="10">
                  <c:v>0.78625113199999996</c:v>
                </c:pt>
                <c:pt idx="11">
                  <c:v>0.80367341500000022</c:v>
                </c:pt>
                <c:pt idx="12">
                  <c:v>0.802521708</c:v>
                </c:pt>
              </c:numCache>
            </c:numRef>
          </c:yVal>
          <c:smooth val="1"/>
          <c:extLst>
            <c:ext xmlns:c16="http://schemas.microsoft.com/office/drawing/2014/chart" uri="{C3380CC4-5D6E-409C-BE32-E72D297353CC}">
              <c16:uniqueId val="{00000004-8ED6-41BE-BB1D-6D904EB9BDA0}"/>
            </c:ext>
          </c:extLst>
        </c:ser>
        <c:dLbls>
          <c:showLegendKey val="0"/>
          <c:showVal val="0"/>
          <c:showCatName val="0"/>
          <c:showSerName val="0"/>
          <c:showPercent val="0"/>
          <c:showBubbleSize val="0"/>
        </c:dLbls>
        <c:axId val="163740672"/>
        <c:axId val="195484288"/>
      </c:scatterChart>
      <c:valAx>
        <c:axId val="163740672"/>
        <c:scaling>
          <c:orientation val="minMax"/>
          <c:max val="1.05"/>
          <c:min val="0"/>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Cambria" panose="02040503050406030204" pitchFamily="18" charset="0"/>
                    <a:cs typeface="+mn-cs"/>
                  </a:defRPr>
                </a:pPr>
                <a:r>
                  <a:rPr lang="pt-BR" b="0">
                    <a:latin typeface="+mn-lt"/>
                    <a:ea typeface="Cambria" panose="02040503050406030204" pitchFamily="18" charset="0"/>
                  </a:rPr>
                  <a:t>Equivalent</a:t>
                </a:r>
                <a:r>
                  <a:rPr lang="pt-BR" b="0" baseline="0">
                    <a:latin typeface="+mn-lt"/>
                    <a:ea typeface="Cambria" panose="02040503050406030204" pitchFamily="18" charset="0"/>
                  </a:rPr>
                  <a:t> Ratio</a:t>
                </a:r>
                <a:endParaRPr lang="pt-BR" b="0">
                  <a:latin typeface="+mn-lt"/>
                  <a:ea typeface="Cambria" panose="02040503050406030204" pitchFamily="18" charset="0"/>
                </a:endParaRPr>
              </a:p>
            </c:rich>
          </c:tx>
          <c:overlay val="0"/>
          <c:spPr>
            <a:noFill/>
            <a:ln>
              <a:noFill/>
            </a:ln>
            <a:effectLst/>
          </c:spPr>
        </c:title>
        <c:numFmt formatCode="0.00"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Cambria" panose="02040503050406030204" pitchFamily="18" charset="0"/>
                <a:cs typeface="+mn-cs"/>
              </a:defRPr>
            </a:pPr>
            <a:endParaRPr lang="pt-BR"/>
          </a:p>
        </c:txPr>
        <c:crossAx val="195484288"/>
        <c:crosses val="autoZero"/>
        <c:crossBetween val="midCat"/>
      </c:valAx>
      <c:valAx>
        <c:axId val="195484288"/>
        <c:scaling>
          <c:orientation val="minMax"/>
          <c:min val="0"/>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Cambria" panose="02040503050406030204" pitchFamily="18" charset="0"/>
                    <a:cs typeface="+mn-cs"/>
                  </a:defRPr>
                </a:pPr>
                <a:r>
                  <a:rPr lang="pt-BR" b="0">
                    <a:latin typeface="+mn-lt"/>
                    <a:ea typeface="Cambria" panose="02040503050406030204" pitchFamily="18" charset="0"/>
                  </a:rPr>
                  <a:t>Syngas</a:t>
                </a:r>
                <a:r>
                  <a:rPr lang="pt-BR" b="0" baseline="0">
                    <a:latin typeface="+mn-lt"/>
                    <a:ea typeface="Cambria" panose="02040503050406030204" pitchFamily="18" charset="0"/>
                  </a:rPr>
                  <a:t> composition (mol fraction)</a:t>
                </a:r>
                <a:endParaRPr lang="pt-BR" b="0">
                  <a:latin typeface="+mn-lt"/>
                  <a:ea typeface="Cambria" panose="02040503050406030204" pitchFamily="18" charset="0"/>
                </a:endParaRPr>
              </a:p>
            </c:rich>
          </c:tx>
          <c:overlay val="0"/>
          <c:spPr>
            <a:noFill/>
            <a:ln>
              <a:noFill/>
            </a:ln>
            <a:effectLst/>
          </c:spPr>
        </c:title>
        <c:numFmt formatCode="0.00"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Cambria" panose="02040503050406030204" pitchFamily="18" charset="0"/>
                <a:cs typeface="+mn-cs"/>
              </a:defRPr>
            </a:pPr>
            <a:endParaRPr lang="pt-BR"/>
          </a:p>
        </c:txPr>
        <c:crossAx val="163740672"/>
        <c:crosses val="autoZero"/>
        <c:crossBetween val="midCat"/>
      </c:valAx>
      <c:spPr>
        <a:noFill/>
        <a:ln>
          <a:solidFill>
            <a:sysClr val="windowText" lastClr="000000"/>
          </a:solid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1"/>
          <c:tx>
            <c:strRef>
              <c:f>'Potência (750 °C)'!$H$3</c:f>
              <c:strCache>
                <c:ptCount val="1"/>
                <c:pt idx="0">
                  <c:v>LHV Syngas (MJ/kg)</c:v>
                </c:pt>
              </c:strCache>
            </c:strRef>
          </c:tx>
          <c:spPr>
            <a:ln w="19050" cap="rnd">
              <a:solidFill>
                <a:schemeClr val="accent2"/>
              </a:solidFill>
              <a:prstDash val="sysDot"/>
              <a:round/>
            </a:ln>
            <a:effectLst/>
          </c:spPr>
          <c:marker>
            <c:symbol val="circle"/>
            <c:size val="5"/>
            <c:spPr>
              <a:solidFill>
                <a:srgbClr val="C00000"/>
              </a:solidFill>
              <a:ln w="9525">
                <a:solidFill>
                  <a:srgbClr val="C00000"/>
                </a:solidFill>
              </a:ln>
              <a:effectLst/>
            </c:spPr>
          </c:marker>
          <c:xVal>
            <c:numRef>
              <c:f>'Potência (750 °C)'!$D$4:$D$13</c:f>
              <c:numCache>
                <c:formatCode>0.00</c:formatCode>
                <c:ptCount val="10"/>
                <c:pt idx="0">
                  <c:v>0.1</c:v>
                </c:pt>
                <c:pt idx="1">
                  <c:v>0.2</c:v>
                </c:pt>
                <c:pt idx="2">
                  <c:v>0.3000000000000001</c:v>
                </c:pt>
                <c:pt idx="3">
                  <c:v>0.4</c:v>
                </c:pt>
                <c:pt idx="4">
                  <c:v>0.5</c:v>
                </c:pt>
                <c:pt idx="5">
                  <c:v>0.6000000000000002</c:v>
                </c:pt>
                <c:pt idx="6">
                  <c:v>0.70000000000000018</c:v>
                </c:pt>
                <c:pt idx="7">
                  <c:v>0.8</c:v>
                </c:pt>
                <c:pt idx="8">
                  <c:v>0.9</c:v>
                </c:pt>
                <c:pt idx="9">
                  <c:v>1</c:v>
                </c:pt>
              </c:numCache>
            </c:numRef>
          </c:xVal>
          <c:yVal>
            <c:numRef>
              <c:f>'Potência (750 °C)'!$H$4:$H$13</c:f>
              <c:numCache>
                <c:formatCode>0.00</c:formatCode>
                <c:ptCount val="10"/>
                <c:pt idx="0">
                  <c:v>11.220582800000004</c:v>
                </c:pt>
                <c:pt idx="1">
                  <c:v>7.93201394</c:v>
                </c:pt>
                <c:pt idx="2">
                  <c:v>5.4290602899999998</c:v>
                </c:pt>
                <c:pt idx="3">
                  <c:v>3.76269637</c:v>
                </c:pt>
                <c:pt idx="4">
                  <c:v>2.5747081499999998</c:v>
                </c:pt>
                <c:pt idx="5">
                  <c:v>1.6857914599999995</c:v>
                </c:pt>
                <c:pt idx="6">
                  <c:v>0.99629362200000005</c:v>
                </c:pt>
                <c:pt idx="7">
                  <c:v>0.44640201800000001</c:v>
                </c:pt>
                <c:pt idx="8">
                  <c:v>7.0975270100000028E-5</c:v>
                </c:pt>
                <c:pt idx="9">
                  <c:v>5.2438690200000057E-7</c:v>
                </c:pt>
              </c:numCache>
            </c:numRef>
          </c:yVal>
          <c:smooth val="0"/>
          <c:extLst>
            <c:ext xmlns:c16="http://schemas.microsoft.com/office/drawing/2014/chart" uri="{C3380CC4-5D6E-409C-BE32-E72D297353CC}">
              <c16:uniqueId val="{00000000-0236-40AD-A43E-0E394B7E8E7D}"/>
            </c:ext>
          </c:extLst>
        </c:ser>
        <c:dLbls>
          <c:showLegendKey val="0"/>
          <c:showVal val="0"/>
          <c:showCatName val="0"/>
          <c:showSerName val="0"/>
          <c:showPercent val="0"/>
          <c:showBubbleSize val="0"/>
        </c:dLbls>
        <c:axId val="216323584"/>
        <c:axId val="230830080"/>
      </c:scatterChart>
      <c:scatterChart>
        <c:scatterStyle val="lineMarker"/>
        <c:varyColors val="0"/>
        <c:ser>
          <c:idx val="0"/>
          <c:order val="0"/>
          <c:tx>
            <c:strRef>
              <c:f>'Potência (750 °C)'!$O$3</c:f>
              <c:strCache>
                <c:ptCount val="1"/>
                <c:pt idx="0">
                  <c:v>CGE (%)</c:v>
                </c:pt>
              </c:strCache>
            </c:strRef>
          </c:tx>
          <c:spPr>
            <a:ln w="19050" cap="rnd">
              <a:solidFill>
                <a:srgbClr val="002060"/>
              </a:solidFill>
              <a:prstDash val="sysDot"/>
              <a:round/>
            </a:ln>
            <a:effectLst/>
          </c:spPr>
          <c:marker>
            <c:symbol val="circle"/>
            <c:size val="5"/>
            <c:spPr>
              <a:solidFill>
                <a:srgbClr val="002060"/>
              </a:solidFill>
              <a:ln w="9525">
                <a:solidFill>
                  <a:srgbClr val="002060"/>
                </a:solidFill>
              </a:ln>
              <a:effectLst/>
            </c:spPr>
          </c:marker>
          <c:xVal>
            <c:numRef>
              <c:f>'Potência (750 °C)'!$D$4:$D$13</c:f>
              <c:numCache>
                <c:formatCode>0.00</c:formatCode>
                <c:ptCount val="10"/>
                <c:pt idx="0">
                  <c:v>0.1</c:v>
                </c:pt>
                <c:pt idx="1">
                  <c:v>0.2</c:v>
                </c:pt>
                <c:pt idx="2">
                  <c:v>0.3000000000000001</c:v>
                </c:pt>
                <c:pt idx="3">
                  <c:v>0.4</c:v>
                </c:pt>
                <c:pt idx="4">
                  <c:v>0.5</c:v>
                </c:pt>
                <c:pt idx="5">
                  <c:v>0.6000000000000002</c:v>
                </c:pt>
                <c:pt idx="6">
                  <c:v>0.70000000000000018</c:v>
                </c:pt>
                <c:pt idx="7">
                  <c:v>0.8</c:v>
                </c:pt>
                <c:pt idx="8">
                  <c:v>0.9</c:v>
                </c:pt>
                <c:pt idx="9">
                  <c:v>1</c:v>
                </c:pt>
              </c:numCache>
            </c:numRef>
          </c:xVal>
          <c:yVal>
            <c:numRef>
              <c:f>'Potência (750 °C)'!$O$4:$O$13</c:f>
              <c:numCache>
                <c:formatCode>0%</c:formatCode>
                <c:ptCount val="10"/>
                <c:pt idx="0">
                  <c:v>0.70569703144654128</c:v>
                </c:pt>
                <c:pt idx="1">
                  <c:v>0.49886880125786204</c:v>
                </c:pt>
                <c:pt idx="2">
                  <c:v>0.34145033270440261</c:v>
                </c:pt>
                <c:pt idx="3">
                  <c:v>0.23664757044025156</c:v>
                </c:pt>
                <c:pt idx="4">
                  <c:v>0.16193133018867931</c:v>
                </c:pt>
                <c:pt idx="5">
                  <c:v>0.10602462012578619</c:v>
                </c:pt>
                <c:pt idx="6">
                  <c:v>6.2659976226415101E-2</c:v>
                </c:pt>
                <c:pt idx="7">
                  <c:v>2.8075598616352202E-2</c:v>
                </c:pt>
                <c:pt idx="8">
                  <c:v>4.4638534654088101E-6</c:v>
                </c:pt>
                <c:pt idx="9">
                  <c:v>3.2980308301886818E-8</c:v>
                </c:pt>
              </c:numCache>
            </c:numRef>
          </c:yVal>
          <c:smooth val="0"/>
          <c:extLst>
            <c:ext xmlns:c16="http://schemas.microsoft.com/office/drawing/2014/chart" uri="{C3380CC4-5D6E-409C-BE32-E72D297353CC}">
              <c16:uniqueId val="{00000001-0236-40AD-A43E-0E394B7E8E7D}"/>
            </c:ext>
          </c:extLst>
        </c:ser>
        <c:dLbls>
          <c:showLegendKey val="0"/>
          <c:showVal val="0"/>
          <c:showCatName val="0"/>
          <c:showSerName val="0"/>
          <c:showPercent val="0"/>
          <c:showBubbleSize val="0"/>
        </c:dLbls>
        <c:axId val="256209280"/>
        <c:axId val="230832384"/>
      </c:scatterChart>
      <c:valAx>
        <c:axId val="216323584"/>
        <c:scaling>
          <c:orientation val="minMax"/>
          <c:max val="1"/>
          <c:min val="0.1"/>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pt-BR"/>
                  <a:t>ER</a:t>
                </a:r>
              </a:p>
            </c:rich>
          </c:tx>
          <c:overlay val="0"/>
          <c:spPr>
            <a:noFill/>
            <a:ln>
              <a:noFill/>
            </a:ln>
            <a:effectLst/>
          </c:spPr>
        </c:title>
        <c:numFmt formatCode="0.00"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pt-BR"/>
          </a:p>
        </c:txPr>
        <c:crossAx val="230830080"/>
        <c:crosses val="autoZero"/>
        <c:crossBetween val="midCat"/>
      </c:valAx>
      <c:valAx>
        <c:axId val="230830080"/>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pt-BR"/>
                  <a:t>Syngas</a:t>
                </a:r>
                <a:r>
                  <a:rPr lang="pt-BR" baseline="0"/>
                  <a:t> LHV (MJ/Nm3)</a:t>
                </a:r>
                <a:endParaRPr lang="pt-BR"/>
              </a:p>
            </c:rich>
          </c:tx>
          <c:overlay val="0"/>
          <c:spPr>
            <a:noFill/>
            <a:ln>
              <a:noFill/>
            </a:ln>
            <a:effectLst/>
          </c:spPr>
        </c:title>
        <c:numFmt formatCode="0.00"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pt-BR"/>
          </a:p>
        </c:txPr>
        <c:crossAx val="216323584"/>
        <c:crosses val="autoZero"/>
        <c:crossBetween val="midCat"/>
      </c:valAx>
      <c:valAx>
        <c:axId val="230832384"/>
        <c:scaling>
          <c:orientation val="minMax"/>
          <c:max val="1"/>
        </c:scaling>
        <c:delete val="0"/>
        <c:axPos val="r"/>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pt-BR"/>
                  <a:t>CGE (%)</a:t>
                </a:r>
              </a:p>
            </c:rich>
          </c:tx>
          <c:overlay val="0"/>
          <c:spPr>
            <a:noFill/>
            <a:ln>
              <a:noFill/>
            </a:ln>
            <a:effectLst/>
          </c:spPr>
        </c:title>
        <c:numFmt formatCode="0%"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pt-BR"/>
          </a:p>
        </c:txPr>
        <c:crossAx val="256209280"/>
        <c:crosses val="max"/>
        <c:crossBetween val="midCat"/>
      </c:valAx>
      <c:valAx>
        <c:axId val="256209280"/>
        <c:scaling>
          <c:orientation val="minMax"/>
        </c:scaling>
        <c:delete val="1"/>
        <c:axPos val="b"/>
        <c:numFmt formatCode="0.00" sourceLinked="1"/>
        <c:majorTickMark val="out"/>
        <c:minorTickMark val="none"/>
        <c:tickLblPos val="nextTo"/>
        <c:crossAx val="230832384"/>
        <c:crosses val="autoZero"/>
        <c:crossBetween val="midCat"/>
      </c:valAx>
      <c:spPr>
        <a:noFill/>
        <a:ln>
          <a:solidFill>
            <a:sysClr val="windowText" lastClr="000000"/>
          </a:solid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85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'Potência (750 °C)'!$D$4:$D$13</c:f>
              <c:numCache>
                <c:formatCode>0.00</c:formatCode>
                <c:ptCount val="10"/>
                <c:pt idx="0">
                  <c:v>0.1</c:v>
                </c:pt>
                <c:pt idx="1">
                  <c:v>0.2</c:v>
                </c:pt>
                <c:pt idx="2">
                  <c:v>0.3000000000000001</c:v>
                </c:pt>
                <c:pt idx="3">
                  <c:v>0.4</c:v>
                </c:pt>
                <c:pt idx="4">
                  <c:v>0.5</c:v>
                </c:pt>
                <c:pt idx="5">
                  <c:v>0.6000000000000002</c:v>
                </c:pt>
                <c:pt idx="6">
                  <c:v>0.70000000000000018</c:v>
                </c:pt>
                <c:pt idx="7">
                  <c:v>0.8</c:v>
                </c:pt>
                <c:pt idx="8">
                  <c:v>0.9</c:v>
                </c:pt>
                <c:pt idx="9">
                  <c:v>1</c:v>
                </c:pt>
              </c:numCache>
            </c:numRef>
          </c:cat>
          <c:val>
            <c:numRef>
              <c:f>'Potência (750 °C)'!$N$4:$N$13</c:f>
              <c:numCache>
                <c:formatCode>0.0%</c:formatCode>
                <c:ptCount val="10"/>
                <c:pt idx="0">
                  <c:v>0.26906603644528404</c:v>
                </c:pt>
                <c:pt idx="1">
                  <c:v>0.26622186438099921</c:v>
                </c:pt>
                <c:pt idx="2">
                  <c:v>0.22572142470587911</c:v>
                </c:pt>
                <c:pt idx="3">
                  <c:v>0.18428238993257873</c:v>
                </c:pt>
                <c:pt idx="4">
                  <c:v>0.14187788347882535</c:v>
                </c:pt>
                <c:pt idx="5">
                  <c:v>9.8318331194391664E-2</c:v>
                </c:pt>
                <c:pt idx="6">
                  <c:v>5.324892540085966E-2</c:v>
                </c:pt>
                <c:pt idx="7">
                  <c:v>6.2422137383044843E-3</c:v>
                </c:pt>
                <c:pt idx="8">
                  <c:v>-3.3042838018559798E-2</c:v>
                </c:pt>
                <c:pt idx="9">
                  <c:v>-3.5044579851128591E-2</c:v>
                </c:pt>
              </c:numCache>
            </c:numRef>
          </c:val>
          <c:extLst>
            <c:ext xmlns:c16="http://schemas.microsoft.com/office/drawing/2014/chart" uri="{C3380CC4-5D6E-409C-BE32-E72D297353CC}">
              <c16:uniqueId val="{00000000-462D-48E6-A0E4-AA6E614CF0A7}"/>
            </c:ext>
          </c:extLst>
        </c:ser>
        <c:dLbls>
          <c:showLegendKey val="0"/>
          <c:showVal val="1"/>
          <c:showCatName val="0"/>
          <c:showSerName val="0"/>
          <c:showPercent val="0"/>
          <c:showBubbleSize val="0"/>
        </c:dLbls>
        <c:gapWidth val="219"/>
        <c:overlap val="-27"/>
        <c:axId val="282008576"/>
        <c:axId val="68592768"/>
      </c:barChart>
      <c:catAx>
        <c:axId val="28200857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pt-BR"/>
                  <a:t>ER</a:t>
                </a:r>
              </a:p>
            </c:rich>
          </c:tx>
          <c:overlay val="0"/>
          <c:spPr>
            <a:noFill/>
            <a:ln>
              <a:noFill/>
            </a:ln>
            <a:effectLst/>
          </c:spPr>
        </c:title>
        <c:numFmt formatCode="0.00"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pt-BR"/>
          </a:p>
        </c:txPr>
        <c:crossAx val="68592768"/>
        <c:crosses val="autoZero"/>
        <c:auto val="1"/>
        <c:lblAlgn val="ctr"/>
        <c:lblOffset val="100"/>
        <c:noMultiLvlLbl val="0"/>
      </c:catAx>
      <c:valAx>
        <c:axId val="68592768"/>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pt-BR"/>
                  <a:t>Net electrical efficiency (%)</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pt-BR"/>
          </a:p>
        </c:txPr>
        <c:crossAx val="282008576"/>
        <c:crosses val="autoZero"/>
        <c:crossBetween val="between"/>
      </c:valAx>
      <c:spPr>
        <a:noFill/>
        <a:ln>
          <a:solidFill>
            <a:sysClr val="windowText" lastClr="000000"/>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2462</Words>
  <Characters>13300</Characters>
  <Application>Microsoft Office Word</Application>
  <DocSecurity>0</DocSecurity>
  <Lines>110</Lines>
  <Paragraphs>31</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Emilio Filho</cp:lastModifiedBy>
  <cp:revision>11</cp:revision>
  <cp:lastPrinted>2023-02-12T22:32:00Z</cp:lastPrinted>
  <dcterms:created xsi:type="dcterms:W3CDTF">2023-04-15T22:56:00Z</dcterms:created>
  <dcterms:modified xsi:type="dcterms:W3CDTF">2023-04-17T11:37:00Z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